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4408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4408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07"/>
                    <w:gridCol w:w="5119"/>
                  </w:tblGrid>
                  <w:tr w:rsidR="00440869" w:rsidTr="008A40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869" w:rsidRDefault="008A40F9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14450" cy="790575"/>
                              <wp:effectExtent l="1905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17CFD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869" w:rsidRDefault="008A40F9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71650" cy="657225"/>
                              <wp:effectExtent l="19050" t="0" r="0" b="0"/>
                              <wp:docPr id="3" name="Picture 2" descr="JSE Logo Stack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JSE Logo Stack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17CFD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440869" w:rsidRDefault="00117CFD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Vukile</w:t>
                  </w:r>
                  <w:proofErr w:type="spellEnd"/>
                  <w:r>
                    <w:rPr>
                      <w:b/>
                      <w:bCs/>
                    </w:rPr>
                    <w:t xml:space="preserve"> Property Fund Ltd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440869" w:rsidRDefault="00117CFD">
                  <w:pPr>
                    <w:pStyle w:val="ltpageheader"/>
                    <w:jc w:val="center"/>
                  </w:pPr>
                  <w:r>
                    <w:t>25 January 2010</w:t>
                  </w:r>
                </w:p>
              </w:tc>
            </w:tr>
            <w:tr w:rsidR="00440869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40869" w:rsidRDefault="00192CE3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192CE3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440869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40869" w:rsidRDefault="00440869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4408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0869" w:rsidRDefault="00117CFD">
                  <w:pPr>
                    <w:pStyle w:val="NormalWeb"/>
                  </w:pPr>
                  <w:r>
                    <w:t xml:space="preserve">Following the receipt of updated shares in issue information for </w:t>
                  </w:r>
                  <w:proofErr w:type="spellStart"/>
                  <w:r>
                    <w:t>Vukile</w:t>
                  </w:r>
                  <w:proofErr w:type="spellEnd"/>
                  <w:r>
                    <w:t xml:space="preserve"> Property Fund Ltd.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Small Cap (J202)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(South Africa, ZAE000056370,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B01NNQ4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 will remain in the index with an increased shares in issue total of 332,020,878 and an unchanged investability weighting of 50%.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(J203)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Financial &amp; Industrial (J250)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SA Listed Property Index (J253)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Capped Property Index (J254)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Property Loan Stock (J256)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Capped All Share (J303)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Shareholder Weighted All Share (J403)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Style (J330 and J331)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 w:rsidP="0092595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Vukile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Property Fund Ltd will remain in the index as detailed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 February 2010</w:t>
                        </w:r>
                      </w:p>
                    </w:tc>
                  </w:tr>
                </w:tbl>
                <w:p w:rsidR="00440869" w:rsidRDefault="00440869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440869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440869" w:rsidRDefault="00440869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0869" w:rsidRDefault="00117CFD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4408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2230 5803 or +65 6223 3738 or +81 3 3581 2811</w:t>
                        </w:r>
                      </w:p>
                    </w:tc>
                  </w:tr>
                  <w:tr w:rsidR="004408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869" w:rsidRDefault="00117CF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+520 7137</w:t>
                        </w:r>
                      </w:p>
                    </w:tc>
                  </w:tr>
                </w:tbl>
                <w:p w:rsidR="00440869" w:rsidRDefault="00117CFD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44086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40869" w:rsidRDefault="00117CFD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440869" w:rsidRDefault="00440869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440869" w:rsidRDefault="00440869">
      <w:pPr>
        <w:rPr>
          <w:rFonts w:eastAsia="Times New Roman"/>
        </w:rPr>
      </w:pPr>
    </w:p>
    <w:sectPr w:rsidR="00440869" w:rsidSect="0044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65A83"/>
    <w:rsid w:val="00117CFD"/>
    <w:rsid w:val="00192CE3"/>
    <w:rsid w:val="00257667"/>
    <w:rsid w:val="00440869"/>
    <w:rsid w:val="008A40F9"/>
    <w:rsid w:val="00925953"/>
    <w:rsid w:val="00B6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6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869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40869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0869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440869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440869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440869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440869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440869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440869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440869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440869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440869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440869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440869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440869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440869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440869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440869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2010-02-01T22:00:00+00:00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047A0-FF27-4411-B896-8903C2DAE31F}"/>
</file>

<file path=customXml/itemProps2.xml><?xml version="1.0" encoding="utf-8"?>
<ds:datastoreItem xmlns:ds="http://schemas.openxmlformats.org/officeDocument/2006/customXml" ds:itemID="{8E30302B-AA01-4C99-9126-4188217AA5A8}"/>
</file>

<file path=customXml/itemProps3.xml><?xml version="1.0" encoding="utf-8"?>
<ds:datastoreItem xmlns:ds="http://schemas.openxmlformats.org/officeDocument/2006/customXml" ds:itemID="{DBF6700F-CF94-415D-BD72-7317457CB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2112</Characters>
  <Application>Microsoft Office Word</Application>
  <DocSecurity>0</DocSecurity>
  <Lines>17</Lines>
  <Paragraphs>4</Paragraphs>
  <ScaleCrop>false</ScaleCrop>
  <Company>FTSE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20100202-Vukile Property Fund Shares In Issue Update</dc:title>
  <dc:subject/>
  <dc:creator>MarcinADM</dc:creator>
  <cp:keywords/>
  <dc:description/>
  <cp:lastModifiedBy>ElsaDe</cp:lastModifiedBy>
  <cp:revision>4</cp:revision>
  <dcterms:created xsi:type="dcterms:W3CDTF">2010-01-25T13:43:00Z</dcterms:created>
  <dcterms:modified xsi:type="dcterms:W3CDTF">2010-01-25T13:45:00Z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