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9F7F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F7F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71"/>
                    <w:gridCol w:w="4055"/>
                  </w:tblGrid>
                  <w:tr w:rsidR="009F7FAB" w:rsidTr="0046430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46430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424940" cy="595630"/>
                              <wp:effectExtent l="19050" t="0" r="381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4940" cy="595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7218B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464307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5080</wp:posOffset>
                              </wp:positionV>
                              <wp:extent cx="1174115" cy="616585"/>
                              <wp:effectExtent l="19050" t="0" r="6985" b="0"/>
                              <wp:wrapTight wrapText="bothSides">
                                <wp:wrapPolygon edited="0">
                                  <wp:start x="-350" y="0"/>
                                  <wp:lineTo x="-350" y="20688"/>
                                  <wp:lineTo x="21729" y="20688"/>
                                  <wp:lineTo x="21729" y="0"/>
                                  <wp:lineTo x="-350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4115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87218B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F7FAB" w:rsidRDefault="0087218B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Vox</w:t>
                  </w:r>
                  <w:proofErr w:type="spellEnd"/>
                  <w:r>
                    <w:rPr>
                      <w:b/>
                      <w:bCs/>
                    </w:rPr>
                    <w:t xml:space="preserve"> Telecom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9F7FAB" w:rsidRDefault="0087218B">
                  <w:pPr>
                    <w:pStyle w:val="ltpageheader"/>
                    <w:jc w:val="center"/>
                  </w:pPr>
                  <w:r>
                    <w:t>02 November 2011</w:t>
                  </w:r>
                </w:p>
              </w:tc>
            </w:tr>
            <w:tr w:rsidR="009F7FA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7FAB" w:rsidRDefault="009F7FAB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9F7FAB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9F7FA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7FAB" w:rsidRDefault="009F7FAB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9F7F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7FAB" w:rsidRDefault="0087218B">
                  <w:pPr>
                    <w:pStyle w:val="NormalWeb"/>
                  </w:pPr>
                  <w:r>
                    <w:t>Subject to the completion of the scheme of arrangement between Vox Telecom (South Africa, constituent) and Lereko Metier Trustees (Proprietary) Limited (South Africa, non-constituent)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9F7FAB" w:rsidTr="0046430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9F7FAB" w:rsidTr="0046430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Vox Telecom (South Africa, ZAE000097234, B03BM81)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07 November 2011</w:t>
                        </w:r>
                      </w:p>
                    </w:tc>
                  </w:tr>
                  <w:tr w:rsidR="009F7FAB" w:rsidTr="0046430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15 (J233)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Vox Telecom will be deleted from the index.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  <w:t xml:space="preserve">Ububele Holdings Ltd (South Africa, ZAE000144739,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B030MP5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) will be added to the index with a shares in issue figure of </w:t>
                        </w:r>
                        <w:r w:rsidR="00464307" w:rsidRPr="00464307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176,620,272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and an investability weighting of 50%.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07 November 2011</w:t>
                        </w:r>
                      </w:p>
                    </w:tc>
                  </w:tr>
                </w:tbl>
                <w:p w:rsidR="009F7FAB" w:rsidRDefault="009F7FAB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9F7FA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9F7FAB" w:rsidRDefault="009F7FAB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F7FAB" w:rsidRDefault="0087218B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9F7F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F7F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F7F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9F7F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9F7F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7FAB" w:rsidRDefault="0087218B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9F7FAB" w:rsidRDefault="0087218B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9F7FA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7FAB" w:rsidRDefault="0087218B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9F7FAB" w:rsidRDefault="009F7FAB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9F7FAB" w:rsidRDefault="009F7FAB">
      <w:pPr>
        <w:rPr>
          <w:rFonts w:eastAsia="Times New Roman"/>
        </w:rPr>
      </w:pPr>
    </w:p>
    <w:sectPr w:rsidR="009F7FAB" w:rsidSect="009F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noPunctuationKerning/>
  <w:characterSpacingControl w:val="doNotCompress"/>
  <w:compat/>
  <w:rsids>
    <w:rsidRoot w:val="00094591"/>
    <w:rsid w:val="00094591"/>
    <w:rsid w:val="00464307"/>
    <w:rsid w:val="0087218B"/>
    <w:rsid w:val="009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A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FAB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7FAB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7FA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9F7FAB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9F7FAB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9F7FAB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9F7FA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9F7FAB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9F7FAB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9F7FAB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9F7FAB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9F7FAB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2011-11-06T22:00:00+00:00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B7282-5C6C-4D81-9D64-B60FA449805B}"/>
</file>

<file path=customXml/itemProps2.xml><?xml version="1.0" encoding="utf-8"?>
<ds:datastoreItem xmlns:ds="http://schemas.openxmlformats.org/officeDocument/2006/customXml" ds:itemID="{25F95ED3-0827-4307-A770-1AA502D1A9CA}"/>
</file>

<file path=customXml/itemProps3.xml><?xml version="1.0" encoding="utf-8"?>
<ds:datastoreItem xmlns:ds="http://schemas.openxmlformats.org/officeDocument/2006/customXml" ds:itemID="{B429CF99-6C0F-4C84-8202-E13BB07EA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1444</Characters>
  <Application>Microsoft Office Word</Application>
  <DocSecurity>4</DocSecurity>
  <Lines>12</Lines>
  <Paragraphs>3</Paragraphs>
  <ScaleCrop>false</ScaleCrop>
  <Company>FTSE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20111107 Vox Telecom Deletion docx</dc:title>
  <dc:subject/>
  <dc:creator>MarcinADM</dc:creator>
  <cp:keywords/>
  <dc:description/>
  <cp:lastModifiedBy>KellyR</cp:lastModifiedBy>
  <cp:revision>2</cp:revision>
  <dcterms:created xsi:type="dcterms:W3CDTF">2011-11-02T15:52:00Z</dcterms:created>
  <dcterms:modified xsi:type="dcterms:W3CDTF">2011-11-02T15:52:00Z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