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77433E">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77433E">
              <w:trPr>
                <w:tblCellSpacing w:w="0" w:type="dxa"/>
              </w:trPr>
              <w:tc>
                <w:tcPr>
                  <w:tcW w:w="0" w:type="auto"/>
                  <w:hideMark/>
                </w:tcPr>
                <w:tbl>
                  <w:tblPr>
                    <w:tblW w:w="5000" w:type="pct"/>
                    <w:tblCellSpacing w:w="0" w:type="dxa"/>
                    <w:tblCellMar>
                      <w:left w:w="75" w:type="dxa"/>
                      <w:right w:w="75" w:type="dxa"/>
                    </w:tblCellMar>
                    <w:tblLook w:val="04A0"/>
                  </w:tblPr>
                  <w:tblGrid>
                    <w:gridCol w:w="4407"/>
                    <w:gridCol w:w="4619"/>
                  </w:tblGrid>
                  <w:tr w:rsidR="0077433E">
                    <w:trPr>
                      <w:tblCellSpacing w:w="0" w:type="dxa"/>
                    </w:trPr>
                    <w:tc>
                      <w:tcPr>
                        <w:tcW w:w="0" w:type="auto"/>
                        <w:hideMark/>
                      </w:tcPr>
                      <w:p w:rsidR="0077433E" w:rsidRDefault="00C126A7">
                        <w:pPr>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1417320" cy="678180"/>
                              <wp:effectExtent l="19050" t="0" r="0"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417320" cy="678180"/>
                                      </a:xfrm>
                                      <a:prstGeom prst="rect">
                                        <a:avLst/>
                                      </a:prstGeom>
                                      <a:noFill/>
                                      <a:ln w="9525">
                                        <a:noFill/>
                                        <a:miter lim="800000"/>
                                        <a:headEnd/>
                                        <a:tailEnd/>
                                      </a:ln>
                                    </pic:spPr>
                                  </pic:pic>
                                </a:graphicData>
                              </a:graphic>
                            </wp:inline>
                          </w:drawing>
                        </w:r>
                        <w:r w:rsidR="00633E7A">
                          <w:rPr>
                            <w:rFonts w:ascii="Verdana" w:eastAsia="Times New Roman" w:hAnsi="Verdana"/>
                            <w:color w:val="003366"/>
                            <w:sz w:val="20"/>
                            <w:szCs w:val="20"/>
                          </w:rPr>
                          <w:t> </w:t>
                        </w:r>
                      </w:p>
                    </w:tc>
                    <w:tc>
                      <w:tcPr>
                        <w:tcW w:w="0" w:type="auto"/>
                        <w:hideMark/>
                      </w:tcPr>
                      <w:p w:rsidR="0077433E" w:rsidRDefault="00C126A7">
                        <w:pPr>
                          <w:jc w:val="right"/>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1493520" cy="647700"/>
                              <wp:effectExtent l="19050" t="0" r="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1493520" cy="647700"/>
                                      </a:xfrm>
                                      <a:prstGeom prst="rect">
                                        <a:avLst/>
                                      </a:prstGeom>
                                      <a:noFill/>
                                      <a:ln w="9525">
                                        <a:noFill/>
                                        <a:miter lim="800000"/>
                                        <a:headEnd/>
                                        <a:tailEnd/>
                                      </a:ln>
                                    </pic:spPr>
                                  </pic:pic>
                                </a:graphicData>
                              </a:graphic>
                            </wp:inline>
                          </w:drawing>
                        </w:r>
                        <w:r w:rsidR="00633E7A">
                          <w:rPr>
                            <w:rFonts w:ascii="Verdana" w:eastAsia="Times New Roman" w:hAnsi="Verdana"/>
                            <w:color w:val="003366"/>
                            <w:sz w:val="20"/>
                            <w:szCs w:val="20"/>
                          </w:rPr>
                          <w:t> </w:t>
                        </w:r>
                      </w:p>
                    </w:tc>
                  </w:tr>
                </w:tbl>
                <w:p w:rsidR="0077433E" w:rsidRDefault="00633E7A">
                  <w:pPr>
                    <w:pStyle w:val="ltpageheader"/>
                    <w:jc w:val="center"/>
                  </w:pPr>
                  <w:r>
                    <w:rPr>
                      <w:b/>
                      <w:bCs/>
                    </w:rPr>
                    <w:t>FTSE/JSE All Africa - Ground Rule Change</w:t>
                  </w:r>
                </w:p>
                <w:p w:rsidR="0077433E" w:rsidRDefault="00633E7A">
                  <w:pPr>
                    <w:pStyle w:val="ltpageheader"/>
                    <w:jc w:val="center"/>
                  </w:pPr>
                  <w:r>
                    <w:t>21 February 2012</w:t>
                  </w:r>
                </w:p>
              </w:tc>
            </w:tr>
            <w:tr w:rsidR="0077433E">
              <w:trPr>
                <w:trHeight w:val="90"/>
                <w:tblCellSpacing w:w="0" w:type="dxa"/>
              </w:trPr>
              <w:tc>
                <w:tcPr>
                  <w:tcW w:w="0" w:type="auto"/>
                  <w:vAlign w:val="bottom"/>
                  <w:hideMark/>
                </w:tcPr>
                <w:p w:rsidR="0077433E" w:rsidRDefault="0077433E">
                  <w:pPr>
                    <w:spacing w:line="90" w:lineRule="atLeast"/>
                    <w:rPr>
                      <w:rFonts w:ascii="Verdana" w:eastAsia="Times New Roman" w:hAnsi="Verdana"/>
                      <w:color w:val="003366"/>
                      <w:sz w:val="20"/>
                      <w:szCs w:val="20"/>
                    </w:rPr>
                  </w:pPr>
                  <w:r w:rsidRPr="0077433E">
                    <w:rPr>
                      <w:rFonts w:ascii="Verdana" w:eastAsia="Times New Roman" w:hAnsi="Verdana"/>
                      <w:color w:val="003366"/>
                      <w:sz w:val="20"/>
                      <w:szCs w:val="20"/>
                    </w:rPr>
                    <w:pict>
                      <v:rect id="_x0000_i1025" style="width:0;height:1.5pt" o:hralign="center" o:hrstd="t" o:hr="t" fillcolor="#aca899" stroked="f"/>
                    </w:pict>
                  </w:r>
                </w:p>
              </w:tc>
            </w:tr>
            <w:tr w:rsidR="0077433E">
              <w:trPr>
                <w:trHeight w:val="90"/>
                <w:tblCellSpacing w:w="0" w:type="dxa"/>
              </w:trPr>
              <w:tc>
                <w:tcPr>
                  <w:tcW w:w="0" w:type="auto"/>
                  <w:vAlign w:val="bottom"/>
                  <w:hideMark/>
                </w:tcPr>
                <w:p w:rsidR="0077433E" w:rsidRDefault="0077433E">
                  <w:pPr>
                    <w:rPr>
                      <w:rFonts w:ascii="Verdana" w:eastAsia="Times New Roman" w:hAnsi="Verdana"/>
                      <w:color w:val="003366"/>
                      <w:sz w:val="10"/>
                      <w:szCs w:val="20"/>
                    </w:rPr>
                  </w:pPr>
                </w:p>
              </w:tc>
            </w:tr>
            <w:tr w:rsidR="0077433E">
              <w:trPr>
                <w:tblCellSpacing w:w="0" w:type="dxa"/>
              </w:trPr>
              <w:tc>
                <w:tcPr>
                  <w:tcW w:w="0" w:type="auto"/>
                  <w:hideMark/>
                </w:tcPr>
                <w:p w:rsidR="0077433E" w:rsidRDefault="00633E7A">
                  <w:pPr>
                    <w:pStyle w:val="NormalWeb"/>
                  </w:pPr>
                  <w:r>
                    <w:t>At the December 2011 meeting of the FTSE/JSE Advisory Committee (AC), it was agreed that additional country buffers be applied to the FTSE/JSE All Africa 40 Index</w:t>
                  </w:r>
                  <w:r w:rsidR="00C126A7">
                    <w:t xml:space="preserve"> (JA00 &amp; JA0R)</w:t>
                  </w:r>
                  <w:r>
                    <w:t xml:space="preserve"> and the FTSE/JSE All Africa ex South Africa 30 Index</w:t>
                  </w:r>
                  <w:r w:rsidR="00C126A7">
                    <w:t xml:space="preserve"> (JA30 &amp; JA3R)</w:t>
                  </w:r>
                  <w:r>
                    <w:t>. These changes will be applied at the March 2012 review. The resulting changes to the constituents of these Indices will be published on the JSE website on Wednesday, 7 March 2012, and will be effective on Monday, 19 March 2012.</w:t>
                  </w:r>
                </w:p>
                <w:p w:rsidR="0077433E" w:rsidRDefault="00633E7A">
                  <w:pPr>
                    <w:pStyle w:val="NormalWeb"/>
                  </w:pPr>
                  <w:r>
                    <w:rPr>
                      <w:i/>
                      <w:iCs/>
                    </w:rPr>
                    <w:t>Existing rule 6.3.4 has been renumbered 6.3.6</w:t>
                  </w:r>
                </w:p>
                <w:p w:rsidR="0077433E" w:rsidRDefault="00633E7A">
                  <w:pPr>
                    <w:pStyle w:val="NormalWeb"/>
                  </w:pPr>
                  <w:r>
                    <w:rPr>
                      <w:i/>
                      <w:iCs/>
                    </w:rPr>
                    <w:t>Existing rule 6.3.5 has been renumbered 6.3.7</w:t>
                  </w:r>
                </w:p>
                <w:p w:rsidR="0077433E" w:rsidRDefault="00633E7A">
                  <w:pPr>
                    <w:pStyle w:val="NormalWeb"/>
                  </w:pPr>
                  <w:r>
                    <w:rPr>
                      <w:b/>
                      <w:bCs/>
                    </w:rPr>
                    <w:t xml:space="preserve">New Rule: 6.3.4 </w:t>
                  </w:r>
                  <w:r>
                    <w:br/>
                  </w:r>
                  <w:r>
                    <w:rPr>
                      <w:b/>
                      <w:bCs/>
                    </w:rPr>
                    <w:br/>
                    <w:t xml:space="preserve">Whilst selecting a stock within South Africa that already has 10 constituents or any other country that already has 7 </w:t>
                  </w:r>
                  <w:proofErr w:type="gramStart"/>
                  <w:r>
                    <w:rPr>
                      <w:b/>
                      <w:bCs/>
                    </w:rPr>
                    <w:t>constituents,</w:t>
                  </w:r>
                  <w:proofErr w:type="gramEnd"/>
                  <w:r>
                    <w:rPr>
                      <w:b/>
                      <w:bCs/>
                    </w:rPr>
                    <w:t xml:space="preserve"> buffers will also be in place within the individual countries during the quarterly review. A company will be inserted at the quarterly review if it rises above the position stated below for the relevant country when the eligible companies for each index are ranked by full market value:</w:t>
                  </w:r>
                  <w:r>
                    <w:rPr>
                      <w:b/>
                      <w:bCs/>
                    </w:rPr>
                    <w:br/>
                  </w:r>
                  <w:r>
                    <w:rPr>
                      <w:b/>
                      <w:bCs/>
                    </w:rPr>
                    <w:br/>
                    <w:t>South African constituents - Risen to 8th or above</w:t>
                  </w:r>
                  <w:r>
                    <w:rPr>
                      <w:b/>
                      <w:bCs/>
                    </w:rPr>
                    <w:br/>
                    <w:t>Non South African constituents - Risen to 5th or above</w:t>
                  </w:r>
                </w:p>
                <w:p w:rsidR="0077433E" w:rsidRDefault="00633E7A">
                  <w:pPr>
                    <w:pStyle w:val="NormalWeb"/>
                  </w:pPr>
                  <w:r>
                    <w:br/>
                  </w:r>
                  <w:r>
                    <w:rPr>
                      <w:b/>
                      <w:bCs/>
                    </w:rPr>
                    <w:t xml:space="preserve">New Rule 6.3.5 </w:t>
                  </w:r>
                  <w:r>
                    <w:br/>
                  </w:r>
                  <w:r>
                    <w:rPr>
                      <w:b/>
                      <w:bCs/>
                    </w:rPr>
                    <w:br/>
                    <w:t>A company will be deleted at the quarterly review if it falls below the position stated below for the relevant country when the eligible companies for each index are ranked by full market value:</w:t>
                  </w:r>
                  <w:r>
                    <w:rPr>
                      <w:b/>
                      <w:bCs/>
                    </w:rPr>
                    <w:br/>
                  </w:r>
                  <w:r>
                    <w:rPr>
                      <w:b/>
                      <w:bCs/>
                    </w:rPr>
                    <w:br/>
                    <w:t>South African constituents - Fallen to 12th or below</w:t>
                  </w:r>
                  <w:r>
                    <w:rPr>
                      <w:b/>
                      <w:bCs/>
                    </w:rPr>
                    <w:br/>
                    <w:t xml:space="preserve">Non South African constituents - Fallen to 9th or below </w:t>
                  </w:r>
                </w:p>
                <w:p w:rsidR="0077433E" w:rsidRDefault="00633E7A">
                  <w:pPr>
                    <w:pStyle w:val="NormalWeb"/>
                  </w:pPr>
                  <w:r>
                    <w:br/>
                    <w:t xml:space="preserve">An updated version of the FTSE/JSE All Africa Index Series rules can be accessed on ftse.com and ftse.jse.co.za </w:t>
                  </w:r>
                </w:p>
                <w:tbl>
                  <w:tblPr>
                    <w:tblW w:w="5000" w:type="pct"/>
                    <w:tblCellSpacing w:w="0" w:type="dxa"/>
                    <w:tblCellMar>
                      <w:left w:w="0" w:type="dxa"/>
                      <w:right w:w="0" w:type="dxa"/>
                    </w:tblCellMar>
                    <w:tblLook w:val="04A0"/>
                  </w:tblPr>
                  <w:tblGrid>
                    <w:gridCol w:w="9026"/>
                  </w:tblGrid>
                  <w:tr w:rsidR="0077433E">
                    <w:trPr>
                      <w:trHeight w:val="15"/>
                      <w:tblCellSpacing w:w="0" w:type="dxa"/>
                    </w:trPr>
                    <w:tc>
                      <w:tcPr>
                        <w:tcW w:w="0" w:type="auto"/>
                        <w:shd w:val="clear" w:color="auto" w:fill="003366"/>
                        <w:vAlign w:val="center"/>
                        <w:hideMark/>
                      </w:tcPr>
                      <w:p w:rsidR="0077433E" w:rsidRDefault="0077433E">
                        <w:pPr>
                          <w:rPr>
                            <w:rFonts w:ascii="Verdana" w:eastAsia="Times New Roman" w:hAnsi="Verdana"/>
                            <w:color w:val="003366"/>
                            <w:sz w:val="2"/>
                            <w:szCs w:val="20"/>
                          </w:rPr>
                        </w:pPr>
                      </w:p>
                    </w:tc>
                  </w:tr>
                </w:tbl>
                <w:p w:rsidR="00C126A7" w:rsidRPr="00E51C33" w:rsidRDefault="00C126A7" w:rsidP="00C126A7">
                  <w:pPr>
                    <w:pStyle w:val="vsmlfont"/>
                    <w:rPr>
                      <w:i/>
                      <w:iCs/>
                      <w:sz w:val="20"/>
                      <w:szCs w:val="20"/>
                    </w:rPr>
                  </w:pPr>
                  <w:r w:rsidRPr="002A61B2">
                    <w:rPr>
                      <w:i/>
                      <w:iCs/>
                      <w:sz w:val="20"/>
                      <w:szCs w:val="20"/>
                    </w:rPr>
                    <w:t xml:space="preserve">All ICA’s are available on our website at </w:t>
                  </w:r>
                  <w:hyperlink r:id="rId6" w:history="1">
                    <w:r w:rsidRPr="002A61B2">
                      <w:rPr>
                        <w:rStyle w:val="Hyperlink"/>
                        <w:i/>
                        <w:iCs/>
                        <w:sz w:val="20"/>
                        <w:szCs w:val="20"/>
                      </w:rPr>
                      <w:t>www.jse.co.za</w:t>
                    </w:r>
                  </w:hyperlink>
                  <w:r w:rsidRPr="002A61B2">
                    <w:rPr>
                      <w:i/>
                      <w:iCs/>
                      <w:sz w:val="20"/>
                      <w:szCs w:val="20"/>
                    </w:rPr>
                    <w:t xml:space="preserve"> and are now available as an RSS subscription using the feed URL </w:t>
                  </w:r>
                  <w:hyperlink r:id="rId7" w:history="1">
                    <w:r w:rsidRPr="002A61B2">
                      <w:rPr>
                        <w:rStyle w:val="Hyperlink"/>
                        <w:i/>
                        <w:iCs/>
                        <w:color w:val="0000FF"/>
                        <w:sz w:val="20"/>
                        <w:szCs w:val="20"/>
                      </w:rPr>
                      <w:t>http://www.jse.co.za/JSE.LibrariesRSS.ashx</w:t>
                    </w:r>
                  </w:hyperlink>
                </w:p>
                <w:p w:rsidR="0077433E" w:rsidRDefault="00633E7A">
                  <w:pPr>
                    <w:pStyle w:val="vsmlfont"/>
                  </w:pPr>
                  <w:r>
                    <w:t>For FTSE / JSE index enquiries or further information about FTSE / JSE please contact:</w:t>
                  </w:r>
                </w:p>
                <w:tbl>
                  <w:tblPr>
                    <w:tblW w:w="5000" w:type="pct"/>
                    <w:tblCellSpacing w:w="0" w:type="dxa"/>
                    <w:tblCellMar>
                      <w:left w:w="75" w:type="dxa"/>
                      <w:right w:w="75" w:type="dxa"/>
                    </w:tblCellMar>
                    <w:tblLook w:val="04A0"/>
                  </w:tblPr>
                  <w:tblGrid>
                    <w:gridCol w:w="2352"/>
                    <w:gridCol w:w="6674"/>
                  </w:tblGrid>
                  <w:tr w:rsidR="0077433E">
                    <w:trPr>
                      <w:tblCellSpacing w:w="0" w:type="dxa"/>
                    </w:trPr>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77433E">
                    <w:trPr>
                      <w:tblCellSpacing w:w="0" w:type="dxa"/>
                    </w:trPr>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lastRenderedPageBreak/>
                          <w:t>JSE Limited:</w:t>
                        </w:r>
                      </w:p>
                    </w:tc>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Tel: +27 (11) 520 7106 or +27 (11) 520 7137</w:t>
                        </w:r>
                      </w:p>
                    </w:tc>
                  </w:tr>
                  <w:tr w:rsidR="0077433E">
                    <w:trPr>
                      <w:tblCellSpacing w:w="0" w:type="dxa"/>
                    </w:trPr>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Tel: New York: (Domestic): + 1 888 747 FTSE (3873) / (International): +1 212 314 1139</w:t>
                        </w:r>
                      </w:p>
                    </w:tc>
                  </w:tr>
                  <w:tr w:rsidR="0077433E">
                    <w:trPr>
                      <w:tblCellSpacing w:w="0" w:type="dxa"/>
                    </w:trPr>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Client Services in Australia:</w:t>
                        </w:r>
                      </w:p>
                    </w:tc>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Tel: (Domestic): + 1800 653 680 / (International): +61 (2) 9293 2864</w:t>
                        </w:r>
                      </w:p>
                    </w:tc>
                  </w:tr>
                  <w:tr w:rsidR="0077433E">
                    <w:trPr>
                      <w:tblCellSpacing w:w="0" w:type="dxa"/>
                    </w:trPr>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Client Services in Hong Kong:</w:t>
                        </w:r>
                      </w:p>
                    </w:tc>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Tel: +852 2164 3333</w:t>
                        </w:r>
                      </w:p>
                    </w:tc>
                  </w:tr>
                  <w:tr w:rsidR="0077433E">
                    <w:trPr>
                      <w:tblCellSpacing w:w="0" w:type="dxa"/>
                    </w:trPr>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Client Services in Japan:</w:t>
                        </w:r>
                      </w:p>
                    </w:tc>
                    <w:tc>
                      <w:tcPr>
                        <w:tcW w:w="0" w:type="auto"/>
                        <w:hideMark/>
                      </w:tcPr>
                      <w:p w:rsidR="0077433E" w:rsidRDefault="00633E7A">
                        <w:pPr>
                          <w:rPr>
                            <w:rFonts w:ascii="Verdana" w:eastAsia="Times New Roman" w:hAnsi="Verdana"/>
                            <w:color w:val="003366"/>
                            <w:sz w:val="16"/>
                            <w:szCs w:val="16"/>
                          </w:rPr>
                        </w:pPr>
                        <w:r>
                          <w:rPr>
                            <w:rFonts w:ascii="Verdana" w:eastAsia="Times New Roman" w:hAnsi="Verdana"/>
                            <w:color w:val="003366"/>
                            <w:sz w:val="16"/>
                            <w:szCs w:val="16"/>
                          </w:rPr>
                          <w:t>Tel: +81 (3) 3581 2764</w:t>
                        </w:r>
                      </w:p>
                    </w:tc>
                  </w:tr>
                </w:tbl>
                <w:p w:rsidR="0077433E" w:rsidRDefault="00633E7A">
                  <w:pPr>
                    <w:pStyle w:val="vsmlfont"/>
                  </w:pPr>
                  <w:r>
                    <w:t xml:space="preserve">Or, email your enquiries to </w:t>
                  </w:r>
                  <w:hyperlink r:id="rId8" w:history="1">
                    <w:r>
                      <w:rPr>
                        <w:rStyle w:val="Hyperlink"/>
                      </w:rPr>
                      <w:t>info@ftse.com</w:t>
                    </w:r>
                  </w:hyperlink>
                  <w:r>
                    <w:t xml:space="preserve">, </w:t>
                  </w:r>
                  <w:hyperlink r:id="rId9" w:history="1">
                    <w:r>
                      <w:rPr>
                        <w:rStyle w:val="Hyperlink"/>
                      </w:rPr>
                      <w:t>indices@jse.co.za</w:t>
                    </w:r>
                  </w:hyperlink>
                  <w:r>
                    <w:t xml:space="preserve"> or visit our website at </w:t>
                  </w:r>
                  <w:hyperlink r:id="rId10" w:tgtFrame="blank" w:history="1">
                    <w:r>
                      <w:rPr>
                        <w:rStyle w:val="Hyperlink"/>
                      </w:rPr>
                      <w:t>www.ftse.com</w:t>
                    </w:r>
                  </w:hyperlink>
                  <w:r>
                    <w:t xml:space="preserve"> or </w:t>
                  </w:r>
                  <w:hyperlink r:id="rId11" w:tgtFrame="blank" w:history="1">
                    <w:r>
                      <w:rPr>
                        <w:rStyle w:val="Hyperlink"/>
                      </w:rPr>
                      <w:t>www.ftsejse.co.za</w:t>
                    </w:r>
                  </w:hyperlink>
                </w:p>
              </w:tc>
            </w:tr>
            <w:tr w:rsidR="0077433E">
              <w:trPr>
                <w:tblCellSpacing w:w="0" w:type="dxa"/>
              </w:trPr>
              <w:tc>
                <w:tcPr>
                  <w:tcW w:w="0" w:type="auto"/>
                  <w:vAlign w:val="bottom"/>
                  <w:hideMark/>
                </w:tcPr>
                <w:p w:rsidR="0077433E" w:rsidRDefault="00633E7A">
                  <w:pPr>
                    <w:jc w:val="center"/>
                    <w:rPr>
                      <w:rFonts w:ascii="Verdana" w:eastAsia="Times New Roman" w:hAnsi="Verdana"/>
                      <w:color w:val="003366"/>
                      <w:sz w:val="20"/>
                      <w:szCs w:val="20"/>
                    </w:rPr>
                  </w:pPr>
                  <w:r>
                    <w:rPr>
                      <w:rFonts w:ascii="Verdana" w:eastAsia="Times New Roman" w:hAnsi="Verdana"/>
                      <w:color w:val="003366"/>
                      <w:sz w:val="20"/>
                      <w:szCs w:val="20"/>
                    </w:rPr>
                    <w:lastRenderedPageBreak/>
                    <w:br/>
                  </w:r>
                  <w:hyperlink r:id="rId12" w:history="1">
                    <w:r>
                      <w:rPr>
                        <w:rStyle w:val="search1"/>
                        <w:rFonts w:eastAsia="Times New Roman"/>
                        <w:color w:val="666666"/>
                      </w:rPr>
                      <w:t>Terms of Use</w:t>
                    </w:r>
                  </w:hyperlink>
                  <w:r>
                    <w:rPr>
                      <w:rStyle w:val="search1"/>
                      <w:rFonts w:eastAsia="Times New Roman"/>
                      <w:color w:val="666666"/>
                    </w:rPr>
                    <w:t xml:space="preserve"> | Copyright © FTSE</w:t>
                  </w:r>
                </w:p>
              </w:tc>
            </w:tr>
          </w:tbl>
          <w:p w:rsidR="0077433E" w:rsidRDefault="0077433E">
            <w:pPr>
              <w:rPr>
                <w:rFonts w:ascii="Verdana" w:eastAsia="Times New Roman" w:hAnsi="Verdana"/>
                <w:color w:val="003366"/>
                <w:sz w:val="20"/>
                <w:szCs w:val="20"/>
              </w:rPr>
            </w:pPr>
          </w:p>
        </w:tc>
      </w:tr>
    </w:tbl>
    <w:p w:rsidR="0077433E" w:rsidRDefault="0077433E">
      <w:pPr>
        <w:rPr>
          <w:rFonts w:eastAsia="Times New Roman"/>
        </w:rPr>
      </w:pPr>
    </w:p>
    <w:sectPr w:rsidR="0077433E" w:rsidSect="007743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44449"/>
    <w:rsid w:val="00144449"/>
    <w:rsid w:val="00633E7A"/>
    <w:rsid w:val="0077433E"/>
    <w:rsid w:val="00C12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33E"/>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77433E"/>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77433E"/>
    <w:pPr>
      <w:spacing w:before="100" w:beforeAutospacing="1" w:after="100" w:afterAutospacing="1"/>
    </w:pPr>
    <w:rPr>
      <w:rFonts w:ascii="Verdana" w:hAnsi="Verdana"/>
      <w:color w:val="003366"/>
      <w:sz w:val="20"/>
      <w:szCs w:val="20"/>
    </w:rPr>
  </w:style>
  <w:style w:type="paragraph" w:customStyle="1" w:styleId="userinfo">
    <w:name w:val="userinfo"/>
    <w:basedOn w:val="Normal"/>
    <w:rsid w:val="0077433E"/>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77433E"/>
    <w:pPr>
      <w:spacing w:before="100" w:beforeAutospacing="1" w:after="100" w:afterAutospacing="1"/>
    </w:pPr>
    <w:rPr>
      <w:rFonts w:ascii="Verdana" w:hAnsi="Verdana"/>
      <w:color w:val="003366"/>
      <w:sz w:val="15"/>
      <w:szCs w:val="15"/>
    </w:rPr>
  </w:style>
  <w:style w:type="paragraph" w:customStyle="1" w:styleId="search">
    <w:name w:val="search"/>
    <w:basedOn w:val="Normal"/>
    <w:rsid w:val="0077433E"/>
    <w:pPr>
      <w:spacing w:before="100" w:beforeAutospacing="1" w:after="100" w:afterAutospacing="1"/>
    </w:pPr>
    <w:rPr>
      <w:rFonts w:ascii="Verdana" w:hAnsi="Verdana"/>
      <w:color w:val="003366"/>
      <w:sz w:val="18"/>
      <w:szCs w:val="18"/>
    </w:rPr>
  </w:style>
  <w:style w:type="paragraph" w:customStyle="1" w:styleId="lingual">
    <w:name w:val="lingual"/>
    <w:basedOn w:val="Normal"/>
    <w:rsid w:val="0077433E"/>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77433E"/>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77433E"/>
    <w:pPr>
      <w:spacing w:before="100" w:beforeAutospacing="1" w:after="100" w:afterAutospacing="1"/>
    </w:pPr>
    <w:rPr>
      <w:rFonts w:ascii="Verdana" w:hAnsi="Verdana"/>
      <w:color w:val="003366"/>
      <w:sz w:val="20"/>
      <w:szCs w:val="20"/>
    </w:rPr>
  </w:style>
  <w:style w:type="paragraph" w:customStyle="1" w:styleId="smlfont">
    <w:name w:val="smlfont"/>
    <w:basedOn w:val="Normal"/>
    <w:rsid w:val="0077433E"/>
    <w:pPr>
      <w:spacing w:before="100" w:beforeAutospacing="1" w:after="100" w:afterAutospacing="1"/>
    </w:pPr>
    <w:rPr>
      <w:rFonts w:ascii="Verdana" w:hAnsi="Verdana"/>
      <w:color w:val="003366"/>
      <w:sz w:val="18"/>
      <w:szCs w:val="18"/>
    </w:rPr>
  </w:style>
  <w:style w:type="paragraph" w:customStyle="1" w:styleId="vsmlfont">
    <w:name w:val="vsmlfont"/>
    <w:basedOn w:val="Normal"/>
    <w:rsid w:val="0077433E"/>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77433E"/>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77433E"/>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77433E"/>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77433E"/>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77433E"/>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77433E"/>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77433E"/>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633E7A"/>
    <w:rPr>
      <w:rFonts w:ascii="Tahoma" w:hAnsi="Tahoma" w:cs="Tahoma"/>
      <w:sz w:val="16"/>
      <w:szCs w:val="16"/>
    </w:rPr>
  </w:style>
  <w:style w:type="character" w:customStyle="1" w:styleId="BalloonTextChar">
    <w:name w:val="Balloon Text Char"/>
    <w:basedOn w:val="DefaultParagraphFont"/>
    <w:link w:val="BalloonText"/>
    <w:uiPriority w:val="99"/>
    <w:semiHidden/>
    <w:rsid w:val="00633E7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ts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e.co.za/JSE.LibrariesRSS.ashx" TargetMode="External"/><Relationship Id="rId12" Type="http://schemas.openxmlformats.org/officeDocument/2006/relationships/hyperlink" Target="http://www.ftse.com/printable/terms_and_conditions.jsp"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hyperlink" Target="http://www.ftsejse.co.za" TargetMode="External"/><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hyperlink" Target="http://www.ftse.com/" TargetMode="External"/><Relationship Id="rId4" Type="http://schemas.openxmlformats.org/officeDocument/2006/relationships/image" Target="media/image1.png"/><Relationship Id="rId9" Type="http://schemas.openxmlformats.org/officeDocument/2006/relationships/hyperlink" Target="mailto:indices@js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2012-03-18T22:00:00+00:00</JSE_x0020_Date>
    <JSEDate xmlns="4b9c4ad8-b913-4b33-a75f-8bb6922b9c0f" xsi:nil="true"/>
  </documentManagement>
</p:properties>
</file>

<file path=customXml/itemProps1.xml><?xml version="1.0" encoding="utf-8"?>
<ds:datastoreItem xmlns:ds="http://schemas.openxmlformats.org/officeDocument/2006/customXml" ds:itemID="{621462D6-BAE2-47DB-A541-ABD26125BEB3}"/>
</file>

<file path=customXml/itemProps2.xml><?xml version="1.0" encoding="utf-8"?>
<ds:datastoreItem xmlns:ds="http://schemas.openxmlformats.org/officeDocument/2006/customXml" ds:itemID="{AD75C2C4-D51B-4653-AA44-3D94E85D29AC}"/>
</file>

<file path=customXml/itemProps3.xml><?xml version="1.0" encoding="utf-8"?>
<ds:datastoreItem xmlns:ds="http://schemas.openxmlformats.org/officeDocument/2006/customXml" ds:itemID="{C3D72272-159A-44DC-A01C-A90F7FFE349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2370</Characters>
  <Application>Microsoft Office Word</Application>
  <DocSecurity>0</DocSecurity>
  <Lines>19</Lines>
  <Paragraphs>5</Paragraphs>
  <ScaleCrop>false</ScaleCrop>
  <Company>FTSE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20120319 - All Africa Ground Rule Change docx</dc:title>
  <dc:creator>Darren Corderoy</dc:creator>
  <cp:lastModifiedBy>User</cp:lastModifiedBy>
  <cp:revision>2</cp:revision>
  <dcterms:created xsi:type="dcterms:W3CDTF">2012-02-21T10:01:00Z</dcterms:created>
  <dcterms:modified xsi:type="dcterms:W3CDTF">2012-02-21T10:01:00Z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