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2C0EA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2C0EA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2C0E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C0EAB" w:rsidRDefault="00AD7F0C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AD7F0C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76275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34D82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0EAB" w:rsidRDefault="00AD7F0C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AD7F0C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68680" cy="647700"/>
                              <wp:effectExtent l="19050" t="0" r="7620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868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34D82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C0EAB" w:rsidRDefault="00A34D82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Pioneer Food Group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2C0EAB" w:rsidRDefault="00A34D82">
                  <w:pPr>
                    <w:pStyle w:val="ltpageheader"/>
                    <w:jc w:val="center"/>
                  </w:pPr>
                  <w:r>
                    <w:t>03 May 2012</w:t>
                  </w:r>
                </w:p>
              </w:tc>
            </w:tr>
            <w:tr w:rsidR="002C0EAB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C0EAB" w:rsidRDefault="002C0EAB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2C0EAB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  <w:tr w:rsidR="002C0EAB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C0EAB" w:rsidRDefault="002C0EAB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2C0EA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C0EAB" w:rsidRDefault="00A34D82">
                  <w:pPr>
                    <w:pStyle w:val="NormalWeb"/>
                  </w:pPr>
                  <w:r>
                    <w:t>Following the receipt of updated shares in issue information for Pioneer Food Group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2C0EAB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2C0EAB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Mid Cap (J201)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Pioneer Food Group (South Africa, ZAE000118279, B2QZG93) will remain in the index with an increased shares in issue figure of 230,059,695 and an unchanged investability weighting of 50%.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11 May 2012</w:t>
                        </w:r>
                      </w:p>
                    </w:tc>
                  </w:tr>
                  <w:tr w:rsidR="002C0EAB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All Share (J203)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Pioneer Food Group will be treated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11 May 2012</w:t>
                        </w:r>
                      </w:p>
                    </w:tc>
                  </w:tr>
                  <w:tr w:rsidR="002C0EA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 JSE RAFI All Share Index (J263)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Pioneer Food Group will be treated as above.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11 May 2012</w:t>
                        </w:r>
                      </w:p>
                    </w:tc>
                  </w:tr>
                  <w:tr w:rsidR="002C0EAB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 JSE RAFI All Share Capped Index (J283)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Pioneer Food Group will be treated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11 May 2012</w:t>
                        </w:r>
                      </w:p>
                    </w:tc>
                  </w:tr>
                  <w:tr w:rsidR="002C0EAB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Capped All Share (J303)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Pioneer Food Group will be treated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11 May 2012</w:t>
                        </w:r>
                      </w:p>
                    </w:tc>
                  </w:tr>
                  <w:tr w:rsidR="002C0EAB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Shareholder Weighted All Share (J403)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Pioneer Food Group will be treated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11 May 2012</w:t>
                        </w:r>
                      </w:p>
                    </w:tc>
                  </w:tr>
                  <w:tr w:rsidR="002C0EAB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Style (J330 and J331)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Pioneer Food Group will be treated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11 May 2012</w:t>
                        </w:r>
                      </w:p>
                    </w:tc>
                  </w:tr>
                  <w:tr w:rsidR="002C0EAB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All Share Shariah (J143)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Pioneer Food Group will be treated as above.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11 May 2012</w:t>
                        </w:r>
                      </w:p>
                    </w:tc>
                  </w:tr>
                </w:tbl>
                <w:p w:rsidR="002C0EAB" w:rsidRDefault="002C0EAB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2C0EAB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2C0EAB" w:rsidRDefault="002C0EAB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C0EAB" w:rsidRDefault="00A34D82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2C0E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2C0E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 xml:space="preserve">Client Services in Europe, Middle East &amp; 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lastRenderedPageBreak/>
                          <w:t>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lastRenderedPageBreak/>
                          <w:t>Tel: +44 (0) 20 7866 1810</w:t>
                        </w:r>
                      </w:p>
                    </w:tc>
                  </w:tr>
                  <w:tr w:rsidR="002C0E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lastRenderedPageBreak/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2C0E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2C0E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0EAB" w:rsidRDefault="00A34D8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2C0EAB" w:rsidRDefault="00A34D82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2C0EAB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C0EAB" w:rsidRDefault="00A34D82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lastRenderedPageBreak/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2C0EAB" w:rsidRDefault="002C0EAB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2C0EAB" w:rsidRDefault="002C0EAB">
      <w:pPr>
        <w:rPr>
          <w:rFonts w:eastAsia="Times New Roman"/>
        </w:rPr>
      </w:pPr>
    </w:p>
    <w:sectPr w:rsidR="002C0EAB" w:rsidSect="002C0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C23AC"/>
    <w:rsid w:val="002C0EAB"/>
    <w:rsid w:val="00A34D82"/>
    <w:rsid w:val="00AD7F0C"/>
    <w:rsid w:val="00F315DA"/>
    <w:rsid w:val="00FC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AB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EAB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C0EAB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C0EAB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2C0EAB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2C0EAB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2C0EAB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2C0EAB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2C0EAB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2C0EAB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2C0EAB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2C0EAB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2C0EAB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2C0EAB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2C0EAB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2C0EAB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2C0EAB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2C0EAB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2C0EAB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8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2012-05-10T22:00:00+00:00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F4D53-771F-46BE-A07D-B26246DFEFA1}"/>
</file>

<file path=customXml/itemProps2.xml><?xml version="1.0" encoding="utf-8"?>
<ds:datastoreItem xmlns:ds="http://schemas.openxmlformats.org/officeDocument/2006/customXml" ds:itemID="{FB14BD27-AD6F-48C2-9811-5D3F15AB56D7}"/>
</file>

<file path=customXml/itemProps3.xml><?xml version="1.0" encoding="utf-8"?>
<ds:datastoreItem xmlns:ds="http://schemas.openxmlformats.org/officeDocument/2006/customXml" ds:itemID="{69D42781-D887-48EE-B22E-DF5BA10A3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1817</Characters>
  <Application>Microsoft Office Word</Application>
  <DocSecurity>0</DocSecurity>
  <Lines>15</Lines>
  <Paragraphs>4</Paragraphs>
  <ScaleCrop>false</ScaleCrop>
  <Company>FTSE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20120511 Pioneer Foods Shares In Issue Update docx</dc:title>
  <dc:creator>MarcinADM</dc:creator>
  <cp:lastModifiedBy>User</cp:lastModifiedBy>
  <cp:revision>3</cp:revision>
  <dcterms:created xsi:type="dcterms:W3CDTF">2012-05-03T13:55:00Z</dcterms:created>
  <dcterms:modified xsi:type="dcterms:W3CDTF">2012-05-03T13:55:00Z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