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A0" w:firstRow="1" w:lastRow="0" w:firstColumn="1" w:lastColumn="0" w:noHBand="0" w:noVBand="0"/>
      </w:tblPr>
      <w:tblGrid>
        <w:gridCol w:w="2344"/>
        <w:gridCol w:w="7373"/>
      </w:tblGrid>
      <w:tr w:rsidR="00A241AB" w:rsidTr="00ED5981">
        <w:tc>
          <w:tcPr>
            <w:tcW w:w="2344" w:type="dxa"/>
          </w:tcPr>
          <w:p w:rsidR="00A241AB" w:rsidRDefault="00A241AB" w:rsidP="00A241AB">
            <w:pPr>
              <w:pStyle w:val="Heading1"/>
            </w:pPr>
          </w:p>
          <w:p w:rsidR="00D07BFE" w:rsidRPr="00D07BFE" w:rsidRDefault="00D07BFE" w:rsidP="00D07BFE">
            <w:pPr>
              <w:rPr>
                <w:b/>
                <w:sz w:val="28"/>
                <w:szCs w:val="28"/>
              </w:rPr>
            </w:pPr>
          </w:p>
          <w:p w:rsidR="00D07BFE" w:rsidRPr="00D07BFE" w:rsidRDefault="00D07BFE" w:rsidP="00D07BFE">
            <w:pPr>
              <w:rPr>
                <w:b/>
                <w:sz w:val="28"/>
                <w:szCs w:val="28"/>
              </w:rPr>
            </w:pPr>
            <w:r w:rsidRPr="00D07BFE">
              <w:rPr>
                <w:b/>
                <w:sz w:val="28"/>
                <w:szCs w:val="28"/>
              </w:rPr>
              <w:t>Memorandum</w:t>
            </w:r>
          </w:p>
          <w:p w:rsidR="00D07BFE" w:rsidRPr="00D07BFE" w:rsidRDefault="00D07BFE" w:rsidP="00D07BFE"/>
        </w:tc>
        <w:tc>
          <w:tcPr>
            <w:tcW w:w="7373" w:type="dxa"/>
          </w:tcPr>
          <w:p w:rsidR="00E72627" w:rsidRPr="00E72627" w:rsidRDefault="001F5F91" w:rsidP="00E72627">
            <w:pPr>
              <w:pStyle w:val="Title"/>
              <w:rPr>
                <w:rFonts w:ascii="Arial" w:hAnsi="Arial" w:cs="Arial"/>
                <w:color w:val="FFFFFF" w:themeColor="background1"/>
                <w:sz w:val="28"/>
                <w:szCs w:val="28"/>
              </w:rPr>
            </w:pPr>
            <w:r>
              <w:rPr>
                <w:rFonts w:ascii="Arial" w:hAnsi="Arial" w:cs="Arial"/>
                <w:color w:val="auto"/>
                <w:sz w:val="28"/>
                <w:szCs w:val="28"/>
              </w:rPr>
              <w:t>20120612</w:t>
            </w:r>
            <w:r w:rsidR="00E72627" w:rsidRPr="007646C1">
              <w:rPr>
                <w:rFonts w:ascii="Arial" w:hAnsi="Arial" w:cs="Arial"/>
                <w:color w:val="auto"/>
                <w:sz w:val="28"/>
                <w:szCs w:val="28"/>
              </w:rPr>
              <w:t xml:space="preserve"> Notes from the June 2012 Advisory</w:t>
            </w:r>
            <w:r w:rsidR="00E72627" w:rsidRPr="00E72627">
              <w:rPr>
                <w:rFonts w:ascii="Arial" w:hAnsi="Arial" w:cs="Arial"/>
                <w:color w:val="FFFFFF" w:themeColor="background1"/>
                <w:sz w:val="28"/>
                <w:szCs w:val="28"/>
              </w:rPr>
              <w:t xml:space="preserve"> Committee</w:t>
            </w:r>
          </w:p>
          <w:p w:rsidR="00A241AB" w:rsidRDefault="00A241AB" w:rsidP="00A241AB"/>
        </w:tc>
      </w:tr>
      <w:tr w:rsidR="00ED5981" w:rsidTr="00ED5981">
        <w:tc>
          <w:tcPr>
            <w:tcW w:w="2344" w:type="dxa"/>
          </w:tcPr>
          <w:p w:rsidR="00ED5981" w:rsidRPr="00671F54" w:rsidRDefault="00ED5981" w:rsidP="005E1116">
            <w:pPr>
              <w:rPr>
                <w:b/>
              </w:rPr>
            </w:pPr>
            <w:r w:rsidRPr="00671F54">
              <w:rPr>
                <w:b/>
              </w:rPr>
              <w:t>To:</w:t>
            </w:r>
          </w:p>
        </w:tc>
        <w:tc>
          <w:tcPr>
            <w:tcW w:w="7373" w:type="dxa"/>
          </w:tcPr>
          <w:p w:rsidR="00ED5981" w:rsidRDefault="00ED5981" w:rsidP="005E1116">
            <w:r>
              <w:t>Market Participants</w:t>
            </w:r>
          </w:p>
        </w:tc>
      </w:tr>
      <w:tr w:rsidR="00ED5981" w:rsidTr="00ED5981">
        <w:tc>
          <w:tcPr>
            <w:tcW w:w="2344" w:type="dxa"/>
          </w:tcPr>
          <w:p w:rsidR="00ED5981" w:rsidRPr="00671F54" w:rsidRDefault="00ED5981" w:rsidP="005E1116">
            <w:pPr>
              <w:rPr>
                <w:b/>
              </w:rPr>
            </w:pPr>
            <w:bookmarkStart w:id="0" w:name="To" w:colFirst="1" w:colLast="1"/>
            <w:r w:rsidRPr="00671F54">
              <w:rPr>
                <w:b/>
              </w:rPr>
              <w:t>From:</w:t>
            </w:r>
          </w:p>
        </w:tc>
        <w:tc>
          <w:tcPr>
            <w:tcW w:w="7373" w:type="dxa"/>
          </w:tcPr>
          <w:p w:rsidR="00ED5981" w:rsidRDefault="00ED5981" w:rsidP="005E1116">
            <w:r>
              <w:t>FTSE/JSE</w:t>
            </w:r>
          </w:p>
        </w:tc>
      </w:tr>
      <w:tr w:rsidR="00ED5981" w:rsidTr="00ED5981">
        <w:tc>
          <w:tcPr>
            <w:tcW w:w="2344" w:type="dxa"/>
          </w:tcPr>
          <w:p w:rsidR="00ED5981" w:rsidRPr="00671F54" w:rsidRDefault="00ED5981" w:rsidP="005E1116">
            <w:pPr>
              <w:rPr>
                <w:b/>
              </w:rPr>
            </w:pPr>
            <w:bookmarkStart w:id="1" w:name="From" w:colFirst="1" w:colLast="1"/>
            <w:bookmarkEnd w:id="0"/>
            <w:r w:rsidRPr="00671F54">
              <w:rPr>
                <w:b/>
              </w:rPr>
              <w:t>Date:</w:t>
            </w:r>
          </w:p>
        </w:tc>
        <w:tc>
          <w:tcPr>
            <w:tcW w:w="7373" w:type="dxa"/>
          </w:tcPr>
          <w:p w:rsidR="00ED5981" w:rsidRDefault="004050FC" w:rsidP="000F6FB6">
            <w:r>
              <w:t>12</w:t>
            </w:r>
            <w:r w:rsidR="000F6FB6">
              <w:t xml:space="preserve"> June</w:t>
            </w:r>
            <w:r w:rsidR="00ED5981">
              <w:t xml:space="preserve"> 2012</w:t>
            </w:r>
          </w:p>
        </w:tc>
      </w:tr>
      <w:tr w:rsidR="00ED5981" w:rsidTr="00ED5981">
        <w:tc>
          <w:tcPr>
            <w:tcW w:w="2344" w:type="dxa"/>
          </w:tcPr>
          <w:p w:rsidR="00ED5981" w:rsidRPr="00671F54" w:rsidRDefault="00ED5981" w:rsidP="005E1116">
            <w:pPr>
              <w:rPr>
                <w:b/>
              </w:rPr>
            </w:pPr>
            <w:bookmarkStart w:id="2" w:name="Date" w:colFirst="1" w:colLast="1"/>
            <w:bookmarkEnd w:id="1"/>
            <w:r w:rsidRPr="00671F54">
              <w:rPr>
                <w:b/>
              </w:rPr>
              <w:t>Subject:</w:t>
            </w:r>
          </w:p>
        </w:tc>
        <w:tc>
          <w:tcPr>
            <w:tcW w:w="7373" w:type="dxa"/>
          </w:tcPr>
          <w:p w:rsidR="00ED5981" w:rsidRPr="00516861" w:rsidRDefault="00ED5981" w:rsidP="00ED5981">
            <w:r>
              <w:rPr>
                <w:b/>
              </w:rPr>
              <w:t>Notes from</w:t>
            </w:r>
            <w:r w:rsidRPr="00516861">
              <w:rPr>
                <w:b/>
              </w:rPr>
              <w:t xml:space="preserve"> the FTSE/JSE Advisory Commit</w:t>
            </w:r>
            <w:r w:rsidR="000F6FB6">
              <w:rPr>
                <w:b/>
              </w:rPr>
              <w:t>tee Meeting held on Wednesday, 6 June</w:t>
            </w:r>
            <w:r>
              <w:rPr>
                <w:b/>
              </w:rPr>
              <w:t xml:space="preserve"> 2012</w:t>
            </w:r>
            <w:bookmarkStart w:id="3" w:name="_GoBack"/>
            <w:bookmarkEnd w:id="3"/>
          </w:p>
        </w:tc>
      </w:tr>
      <w:bookmarkEnd w:id="2"/>
      <w:tr w:rsidR="00ED5981" w:rsidTr="00ED5981">
        <w:tc>
          <w:tcPr>
            <w:tcW w:w="2344" w:type="dxa"/>
            <w:tcBorders>
              <w:bottom w:val="single" w:sz="4" w:space="0" w:color="333333"/>
            </w:tcBorders>
          </w:tcPr>
          <w:p w:rsidR="00ED5981" w:rsidRDefault="00ED5981" w:rsidP="00A241AB"/>
        </w:tc>
        <w:tc>
          <w:tcPr>
            <w:tcW w:w="7373" w:type="dxa"/>
            <w:tcBorders>
              <w:bottom w:val="single" w:sz="4" w:space="0" w:color="333333"/>
            </w:tcBorders>
          </w:tcPr>
          <w:p w:rsidR="00ED5981" w:rsidRDefault="00ED5981" w:rsidP="00A241AB"/>
        </w:tc>
      </w:tr>
    </w:tbl>
    <w:p w:rsidR="005E1116" w:rsidRPr="001115AD" w:rsidRDefault="005E1116" w:rsidP="001115AD">
      <w:pPr>
        <w:pStyle w:val="Heading2"/>
        <w:numPr>
          <w:ilvl w:val="0"/>
          <w:numId w:val="19"/>
        </w:numPr>
        <w:spacing w:line="360" w:lineRule="auto"/>
        <w:ind w:right="0"/>
        <w:rPr>
          <w:sz w:val="22"/>
          <w:lang w:val="en-ZA"/>
        </w:rPr>
      </w:pPr>
      <w:r w:rsidRPr="001115AD">
        <w:rPr>
          <w:sz w:val="22"/>
          <w:lang w:val="en-ZA"/>
        </w:rPr>
        <w:t>Background</w:t>
      </w:r>
    </w:p>
    <w:p w:rsidR="005E1116" w:rsidRPr="001115AD" w:rsidRDefault="005E1116" w:rsidP="001115AD">
      <w:pPr>
        <w:ind w:left="567"/>
        <w:jc w:val="both"/>
      </w:pPr>
      <w:r w:rsidRPr="001115AD">
        <w:t>The FTSE/JSE Advisory C</w:t>
      </w:r>
      <w:r w:rsidR="00A01907" w:rsidRPr="001115AD">
        <w:t>ommittee (AC) met on Wednesday 6 June</w:t>
      </w:r>
      <w:r w:rsidRPr="001115AD">
        <w:t xml:space="preserve"> 2012 to approve the quarterly </w:t>
      </w:r>
      <w:r w:rsidR="00A01907" w:rsidRPr="001115AD">
        <w:t xml:space="preserve">review </w:t>
      </w:r>
      <w:r w:rsidRPr="001115AD">
        <w:t>changes to the FTSE/JSE Africa Index Series and</w:t>
      </w:r>
      <w:r w:rsidR="00A01907" w:rsidRPr="001115AD">
        <w:t xml:space="preserve"> to</w:t>
      </w:r>
      <w:r w:rsidRPr="001115AD">
        <w:t xml:space="preserve"> discuss matters relating to the indices.  The items listed below were discussed during the meeting.</w:t>
      </w:r>
    </w:p>
    <w:p w:rsidR="00814D55" w:rsidRPr="001115AD" w:rsidRDefault="00814D55" w:rsidP="001115AD">
      <w:pPr>
        <w:pStyle w:val="Heading2"/>
        <w:numPr>
          <w:ilvl w:val="0"/>
          <w:numId w:val="19"/>
        </w:numPr>
        <w:spacing w:line="360" w:lineRule="auto"/>
        <w:ind w:right="0"/>
        <w:rPr>
          <w:sz w:val="22"/>
          <w:lang w:val="en-ZA"/>
        </w:rPr>
      </w:pPr>
      <w:r w:rsidRPr="001115AD">
        <w:rPr>
          <w:sz w:val="22"/>
          <w:lang w:val="en-ZA"/>
        </w:rPr>
        <w:t>Feedback on the FTSE/JSE Africa Index Series</w:t>
      </w:r>
    </w:p>
    <w:p w:rsidR="00814D55" w:rsidRPr="001115AD" w:rsidRDefault="00A01907" w:rsidP="001115AD">
      <w:pPr>
        <w:pStyle w:val="ListParagraph"/>
        <w:numPr>
          <w:ilvl w:val="0"/>
          <w:numId w:val="21"/>
        </w:numPr>
        <w:jc w:val="both"/>
      </w:pPr>
      <w:r w:rsidRPr="001115AD">
        <w:t xml:space="preserve">Five </w:t>
      </w:r>
      <w:proofErr w:type="gramStart"/>
      <w:r w:rsidRPr="001115AD">
        <w:t>total</w:t>
      </w:r>
      <w:proofErr w:type="gramEnd"/>
      <w:r w:rsidRPr="001115AD">
        <w:t xml:space="preserve"> return indices</w:t>
      </w:r>
      <w:r w:rsidR="004050FC">
        <w:t xml:space="preserve"> (TRI), calculated on a net basi</w:t>
      </w:r>
      <w:r w:rsidRPr="001115AD">
        <w:t>s</w:t>
      </w:r>
      <w:r w:rsidR="004050FC">
        <w:t>, namely JN00, JN0U, JNX4, JNS4 and JNR4</w:t>
      </w:r>
      <w:r w:rsidRPr="001115AD">
        <w:t>, were launched on 16 April 2012.</w:t>
      </w:r>
    </w:p>
    <w:p w:rsidR="00A01907" w:rsidRPr="001115AD" w:rsidRDefault="004050FC" w:rsidP="001115AD">
      <w:pPr>
        <w:pStyle w:val="ListParagraph"/>
        <w:numPr>
          <w:ilvl w:val="0"/>
          <w:numId w:val="21"/>
        </w:numPr>
        <w:jc w:val="both"/>
      </w:pPr>
      <w:r>
        <w:t>Four</w:t>
      </w:r>
      <w:r w:rsidR="00A01907" w:rsidRPr="001115AD">
        <w:t xml:space="preserve"> </w:t>
      </w:r>
      <w:r>
        <w:t xml:space="preserve">dividends subject to </w:t>
      </w:r>
      <w:r w:rsidR="00A01907" w:rsidRPr="001115AD">
        <w:t xml:space="preserve">Dividend Withholding Tax (DWT) </w:t>
      </w:r>
      <w:r>
        <w:t xml:space="preserve">were treated as STC </w:t>
      </w:r>
      <w:r w:rsidR="00A01907" w:rsidRPr="001115AD">
        <w:t xml:space="preserve">in the Index Series.  These companies (BTI, AGL, </w:t>
      </w:r>
      <w:proofErr w:type="gramStart"/>
      <w:r w:rsidR="00A01907" w:rsidRPr="001115AD">
        <w:t>MND</w:t>
      </w:r>
      <w:proofErr w:type="gramEnd"/>
      <w:r w:rsidR="00A01907" w:rsidRPr="001115AD">
        <w:t xml:space="preserve"> &amp; MNP) </w:t>
      </w:r>
      <w:r>
        <w:t>had a final declaration date after the ex-date, but the dividends were subject to DWT</w:t>
      </w:r>
      <w:r w:rsidR="00A01907" w:rsidRPr="001115AD">
        <w:t>.  FTES/JSE believed this anomaly was handled in the best manner at the time, given the information available.  It is highly unlikely that this issue would arise again.</w:t>
      </w:r>
    </w:p>
    <w:p w:rsidR="00A01907" w:rsidRPr="001115AD" w:rsidRDefault="00A01907" w:rsidP="001115AD">
      <w:pPr>
        <w:pStyle w:val="ListParagraph"/>
        <w:numPr>
          <w:ilvl w:val="0"/>
          <w:numId w:val="21"/>
        </w:numPr>
        <w:jc w:val="both"/>
      </w:pPr>
      <w:r w:rsidRPr="001115AD">
        <w:t xml:space="preserve">The All Share Index (J203) reached an all time high of </w:t>
      </w:r>
      <w:r w:rsidRPr="00745AC0">
        <w:t xml:space="preserve">34,482.43 </w:t>
      </w:r>
      <w:r w:rsidRPr="001115AD">
        <w:t>on 2 May 2012.</w:t>
      </w:r>
    </w:p>
    <w:p w:rsidR="00DE67B9" w:rsidRPr="001115AD" w:rsidRDefault="00DE67B9" w:rsidP="001115AD">
      <w:pPr>
        <w:pStyle w:val="ListParagraph"/>
        <w:numPr>
          <w:ilvl w:val="0"/>
          <w:numId w:val="21"/>
        </w:numPr>
        <w:jc w:val="both"/>
      </w:pPr>
      <w:r w:rsidRPr="001115AD">
        <w:t>The rebasing of the General Industrial Index (J272) was implemented successfully.</w:t>
      </w:r>
    </w:p>
    <w:p w:rsidR="001115AD" w:rsidRPr="001115AD" w:rsidRDefault="001115AD" w:rsidP="001115AD">
      <w:pPr>
        <w:pStyle w:val="Heading2"/>
        <w:numPr>
          <w:ilvl w:val="0"/>
          <w:numId w:val="19"/>
        </w:numPr>
        <w:spacing w:line="360" w:lineRule="auto"/>
        <w:ind w:right="0"/>
        <w:rPr>
          <w:sz w:val="22"/>
          <w:lang w:val="en-ZA"/>
        </w:rPr>
      </w:pPr>
      <w:r w:rsidRPr="001115AD">
        <w:rPr>
          <w:sz w:val="22"/>
          <w:lang w:val="en-ZA"/>
        </w:rPr>
        <w:t>Lonmin</w:t>
      </w:r>
      <w:r w:rsidR="00D6075F">
        <w:rPr>
          <w:sz w:val="22"/>
          <w:lang w:val="en-ZA"/>
        </w:rPr>
        <w:t xml:space="preserve"> (LON)</w:t>
      </w:r>
      <w:r w:rsidRPr="001115AD">
        <w:rPr>
          <w:sz w:val="22"/>
          <w:lang w:val="en-ZA"/>
        </w:rPr>
        <w:t xml:space="preserve"> Free Float</w:t>
      </w:r>
    </w:p>
    <w:p w:rsidR="00AE48A5" w:rsidRDefault="001115AD" w:rsidP="00ED30AF">
      <w:pPr>
        <w:ind w:left="567"/>
        <w:jc w:val="both"/>
      </w:pPr>
      <w:r w:rsidRPr="001115AD">
        <w:t xml:space="preserve">The AC agreed </w:t>
      </w:r>
      <w:r w:rsidR="00D6075F">
        <w:t>to increase the LON free float to 10</w:t>
      </w:r>
      <w:r w:rsidRPr="001115AD">
        <w:t xml:space="preserve">0% at the </w:t>
      </w:r>
      <w:r w:rsidR="00D6075F">
        <w:t>June 2012 review.</w:t>
      </w:r>
    </w:p>
    <w:p w:rsidR="00ED30AF" w:rsidRDefault="00ED30AF" w:rsidP="00ED30AF">
      <w:pPr>
        <w:ind w:left="567"/>
        <w:jc w:val="both"/>
      </w:pPr>
    </w:p>
    <w:p w:rsidR="00ED30AF" w:rsidRPr="00ED30AF" w:rsidRDefault="00ED30AF" w:rsidP="00ED30AF">
      <w:pPr>
        <w:pStyle w:val="Heading2"/>
        <w:numPr>
          <w:ilvl w:val="0"/>
          <w:numId w:val="19"/>
        </w:numPr>
        <w:spacing w:line="360" w:lineRule="auto"/>
        <w:ind w:right="0"/>
        <w:rPr>
          <w:sz w:val="22"/>
          <w:lang w:val="en-ZA"/>
        </w:rPr>
      </w:pPr>
      <w:r w:rsidRPr="00ED30AF">
        <w:rPr>
          <w:sz w:val="22"/>
          <w:lang w:val="en-ZA"/>
        </w:rPr>
        <w:t>Market Consul</w:t>
      </w:r>
      <w:r>
        <w:rPr>
          <w:sz w:val="22"/>
          <w:lang w:val="en-ZA"/>
        </w:rPr>
        <w:t>t</w:t>
      </w:r>
      <w:r w:rsidRPr="00ED30AF">
        <w:rPr>
          <w:sz w:val="22"/>
          <w:lang w:val="en-ZA"/>
        </w:rPr>
        <w:t>ation Feedback on the SWIX Free Float Methodology</w:t>
      </w:r>
    </w:p>
    <w:p w:rsidR="00ED30AF" w:rsidRDefault="002868D6" w:rsidP="00ED30AF">
      <w:pPr>
        <w:ind w:left="567"/>
        <w:jc w:val="both"/>
      </w:pPr>
      <w:r w:rsidRPr="002868D6">
        <w:t>On 16 April 2012 a market consultation</w:t>
      </w:r>
      <w:r w:rsidR="00EC5444" w:rsidRPr="00EC5444">
        <w:t xml:space="preserve"> </w:t>
      </w:r>
      <w:r w:rsidR="00EC5444">
        <w:t>proposing</w:t>
      </w:r>
      <w:r w:rsidR="00EC5444" w:rsidRPr="002868D6">
        <w:t xml:space="preserve"> that all SWIX constituents</w:t>
      </w:r>
      <w:r w:rsidR="00EC5444">
        <w:t xml:space="preserve"> should</w:t>
      </w:r>
      <w:r w:rsidR="00EC5444" w:rsidRPr="002868D6">
        <w:t xml:space="preserve"> be down-weighted </w:t>
      </w:r>
      <w:r w:rsidR="00EC5444">
        <w:t>using the total STRATE Register</w:t>
      </w:r>
      <w:r w:rsidRPr="002868D6">
        <w:t xml:space="preserve"> was distributed</w:t>
      </w:r>
      <w:r w:rsidR="00EC5444">
        <w:t xml:space="preserve"> to market participants.</w:t>
      </w:r>
    </w:p>
    <w:p w:rsidR="00EC5444" w:rsidRDefault="00EC5444" w:rsidP="00ED30AF">
      <w:pPr>
        <w:ind w:left="567"/>
        <w:jc w:val="both"/>
      </w:pPr>
    </w:p>
    <w:p w:rsidR="00EC5444" w:rsidRDefault="00EC5444" w:rsidP="00EC5444">
      <w:pPr>
        <w:ind w:left="567"/>
        <w:jc w:val="both"/>
      </w:pPr>
      <w:r>
        <w:lastRenderedPageBreak/>
        <w:t>However, the</w:t>
      </w:r>
      <w:r w:rsidRPr="00EC5444">
        <w:t xml:space="preserve"> process of investigating the proposed methodology exposed a few</w:t>
      </w:r>
      <w:r w:rsidR="004050FC">
        <w:t xml:space="preserve"> </w:t>
      </w:r>
      <w:proofErr w:type="spellStart"/>
      <w:r w:rsidR="004050FC">
        <w:t>prviously</w:t>
      </w:r>
      <w:proofErr w:type="spellEnd"/>
      <w:r w:rsidRPr="00EC5444">
        <w:t xml:space="preserve"> unforeseen consequences</w:t>
      </w:r>
      <w:r>
        <w:t xml:space="preserve"> which would impact the SWIX indices, o</w:t>
      </w:r>
      <w:r w:rsidRPr="00EC5444">
        <w:t xml:space="preserve">ne being the treatment of </w:t>
      </w:r>
      <w:r>
        <w:t>Depository Receipts (DRs).  The current SWIX methodology excludes DRs from the SWIX indices due to their foreign ownership.  However, the SWIX methodology</w:t>
      </w:r>
      <w:r w:rsidRPr="003634C3">
        <w:t xml:space="preserve"> </w:t>
      </w:r>
      <w:r>
        <w:t>proposed in the market consultation would include DRs in the SWIX indices.</w:t>
      </w:r>
      <w:r w:rsidR="00406D9B">
        <w:t xml:space="preserve">  It is difficult to obtain</w:t>
      </w:r>
      <w:r w:rsidR="004050FC">
        <w:t xml:space="preserve"> accurate, timely</w:t>
      </w:r>
      <w:r w:rsidR="00406D9B">
        <w:t xml:space="preserve"> data on companies with DR programs.</w:t>
      </w:r>
    </w:p>
    <w:p w:rsidR="00F26D52" w:rsidRDefault="00EC5444" w:rsidP="00F758B1">
      <w:pPr>
        <w:ind w:left="567"/>
        <w:jc w:val="both"/>
      </w:pPr>
      <w:r>
        <w:t>T</w:t>
      </w:r>
      <w:r w:rsidRPr="00EC5444">
        <w:t>he large rebalance cost associated with the proposed change</w:t>
      </w:r>
      <w:r>
        <w:t xml:space="preserve"> was another consideration</w:t>
      </w:r>
      <w:r w:rsidRPr="00EC5444">
        <w:t xml:space="preserve">.  Fund managers would need to trade </w:t>
      </w:r>
      <w:r w:rsidR="004050FC">
        <w:t>over</w:t>
      </w:r>
      <w:r w:rsidRPr="00EC5444">
        <w:t xml:space="preserve"> 10% of their portfolio for the implementation of the proposed</w:t>
      </w:r>
      <w:r>
        <w:t xml:space="preserve"> change.  </w:t>
      </w:r>
      <w:r w:rsidR="00F758B1">
        <w:t>It is concerning that a subtle change to the index methodology for philosophical reasons, but minimum performance gain, will result in a substantial cost to investors.</w:t>
      </w:r>
    </w:p>
    <w:p w:rsidR="00F758B1" w:rsidRDefault="00F758B1" w:rsidP="00F758B1">
      <w:pPr>
        <w:ind w:left="567"/>
        <w:jc w:val="both"/>
      </w:pPr>
    </w:p>
    <w:p w:rsidR="00F758B1" w:rsidRDefault="00F758B1" w:rsidP="00F758B1">
      <w:pPr>
        <w:ind w:left="567"/>
        <w:jc w:val="both"/>
      </w:pPr>
      <w:r>
        <w:t>The AC decided that the SWIX methodology would remain unchanged.</w:t>
      </w:r>
    </w:p>
    <w:p w:rsidR="00406D9B" w:rsidRDefault="00406D9B" w:rsidP="00F758B1">
      <w:pPr>
        <w:ind w:left="567"/>
        <w:jc w:val="both"/>
      </w:pPr>
    </w:p>
    <w:p w:rsidR="00F758B1" w:rsidRDefault="00406D9B" w:rsidP="00F758B1">
      <w:pPr>
        <w:ind w:left="567"/>
        <w:jc w:val="both"/>
      </w:pPr>
      <w:r>
        <w:t>The AC</w:t>
      </w:r>
      <w:r w:rsidR="00F758B1">
        <w:t xml:space="preserve"> decided that the</w:t>
      </w:r>
      <w:r>
        <w:t xml:space="preserve"> SWIX</w:t>
      </w:r>
      <w:r w:rsidR="00F758B1">
        <w:t xml:space="preserve"> index purpose and methodology should be better defined</w:t>
      </w:r>
      <w:r>
        <w:t xml:space="preserve"> to create more clarity in the market</w:t>
      </w:r>
      <w:r w:rsidR="00F758B1">
        <w:t>.</w:t>
      </w:r>
    </w:p>
    <w:p w:rsidR="00406D9B" w:rsidRPr="009F54C6" w:rsidRDefault="00406D9B" w:rsidP="009F54C6">
      <w:pPr>
        <w:pStyle w:val="Heading2"/>
        <w:numPr>
          <w:ilvl w:val="0"/>
          <w:numId w:val="19"/>
        </w:numPr>
        <w:spacing w:line="360" w:lineRule="auto"/>
        <w:ind w:right="0"/>
        <w:rPr>
          <w:sz w:val="22"/>
          <w:lang w:val="en-ZA"/>
        </w:rPr>
      </w:pPr>
      <w:r w:rsidRPr="009F54C6">
        <w:rPr>
          <w:sz w:val="22"/>
          <w:lang w:val="en-ZA"/>
        </w:rPr>
        <w:t>Constituent Liquidity Screening</w:t>
      </w:r>
    </w:p>
    <w:p w:rsidR="002C1FEA" w:rsidRPr="002C1FEA" w:rsidRDefault="009F54C6" w:rsidP="002C1FEA">
      <w:pPr>
        <w:ind w:left="567"/>
        <w:jc w:val="both"/>
      </w:pPr>
      <w:r>
        <w:t xml:space="preserve">The AC considered the outcome of various liquidity screens that were tested for the FTSE/JSE Africa Index Series.  </w:t>
      </w:r>
      <w:r w:rsidR="002C1FEA" w:rsidRPr="002C1FEA">
        <w:t xml:space="preserve">The AC concluded that the current </w:t>
      </w:r>
      <w:r w:rsidR="002C1FEA">
        <w:t xml:space="preserve">liquidity screening </w:t>
      </w:r>
      <w:r w:rsidR="002C1FEA" w:rsidRPr="002C1FEA">
        <w:t xml:space="preserve">method would </w:t>
      </w:r>
      <w:r w:rsidR="002C1FEA">
        <w:t xml:space="preserve">remain unchanged.  </w:t>
      </w:r>
      <w:r w:rsidR="004050FC">
        <w:t>Additional</w:t>
      </w:r>
      <w:r w:rsidR="002C1FEA" w:rsidRPr="002C1FEA">
        <w:t xml:space="preserve"> index specific hurdle</w:t>
      </w:r>
      <w:r w:rsidR="004050FC">
        <w:t>s</w:t>
      </w:r>
      <w:r w:rsidR="002C1FEA" w:rsidRPr="002C1FEA">
        <w:t xml:space="preserve"> for tradable indices would be investigated.</w:t>
      </w:r>
    </w:p>
    <w:p w:rsidR="00F96F52" w:rsidRPr="00F96F52" w:rsidRDefault="00F96F52" w:rsidP="00F96F52">
      <w:pPr>
        <w:pStyle w:val="Heading2"/>
        <w:numPr>
          <w:ilvl w:val="0"/>
          <w:numId w:val="19"/>
        </w:numPr>
        <w:spacing w:line="360" w:lineRule="auto"/>
        <w:ind w:right="0"/>
        <w:rPr>
          <w:sz w:val="22"/>
          <w:lang w:val="en-ZA"/>
        </w:rPr>
      </w:pPr>
      <w:r w:rsidRPr="00F96F52">
        <w:rPr>
          <w:sz w:val="22"/>
          <w:lang w:val="en-ZA"/>
        </w:rPr>
        <w:t xml:space="preserve">Dividend </w:t>
      </w:r>
      <w:proofErr w:type="gramStart"/>
      <w:r w:rsidRPr="00F96F52">
        <w:rPr>
          <w:sz w:val="22"/>
          <w:lang w:val="en-ZA"/>
        </w:rPr>
        <w:t>Plus</w:t>
      </w:r>
      <w:proofErr w:type="gramEnd"/>
      <w:r w:rsidRPr="00F96F52">
        <w:rPr>
          <w:sz w:val="22"/>
          <w:lang w:val="en-ZA"/>
        </w:rPr>
        <w:t xml:space="preserve"> Index:  Change to Review Date and Liquidity Investigation</w:t>
      </w:r>
    </w:p>
    <w:p w:rsidR="00F96F52" w:rsidRDefault="002E4C93" w:rsidP="00F758B1">
      <w:pPr>
        <w:ind w:left="567"/>
        <w:jc w:val="both"/>
      </w:pPr>
      <w:r>
        <w:t xml:space="preserve">The AC decided to change the dates for the semi-annual review of the Dividend </w:t>
      </w:r>
      <w:proofErr w:type="gramStart"/>
      <w:r>
        <w:t>Plus</w:t>
      </w:r>
      <w:proofErr w:type="gramEnd"/>
      <w:r>
        <w:t xml:space="preserve"> (J259) index.  The index is currently reviewed in June and December.  In future the index will be reviewed in March and September.  The index will be reviewed as part of the June 2012 Index Series Review.  The next review for the Dividend Plus index will take place in March 2013.</w:t>
      </w:r>
    </w:p>
    <w:p w:rsidR="00F96F52" w:rsidRPr="00CF632C" w:rsidRDefault="00CF632C" w:rsidP="00CF632C">
      <w:pPr>
        <w:pStyle w:val="Heading2"/>
        <w:numPr>
          <w:ilvl w:val="0"/>
          <w:numId w:val="19"/>
        </w:numPr>
        <w:spacing w:line="360" w:lineRule="auto"/>
        <w:ind w:right="0"/>
        <w:rPr>
          <w:sz w:val="22"/>
          <w:lang w:val="en-ZA"/>
        </w:rPr>
      </w:pPr>
      <w:r w:rsidRPr="00CF632C">
        <w:rPr>
          <w:sz w:val="22"/>
          <w:lang w:val="en-ZA"/>
        </w:rPr>
        <w:t>Liquidity of previous Inward Foreign Listings</w:t>
      </w:r>
      <w:r>
        <w:rPr>
          <w:sz w:val="22"/>
          <w:lang w:val="en-ZA"/>
        </w:rPr>
        <w:t xml:space="preserve"> (IFLs)</w:t>
      </w:r>
    </w:p>
    <w:p w:rsidR="00406D9B" w:rsidRDefault="00CF632C" w:rsidP="00F758B1">
      <w:pPr>
        <w:ind w:left="567"/>
        <w:jc w:val="both"/>
      </w:pPr>
      <w:r>
        <w:t>FTSE/JSE presented a paper examining the trading statistics and SA holding patterns of previous IFLs since their inclusion at the December Review.</w:t>
      </w:r>
    </w:p>
    <w:p w:rsidR="00CF632C" w:rsidRDefault="00CF632C" w:rsidP="00F758B1">
      <w:pPr>
        <w:ind w:left="567"/>
        <w:jc w:val="both"/>
      </w:pPr>
    </w:p>
    <w:p w:rsidR="00E613E5" w:rsidRPr="00516861" w:rsidRDefault="00E613E5" w:rsidP="00A01907">
      <w:pPr>
        <w:spacing w:line="360" w:lineRule="auto"/>
        <w:jc w:val="both"/>
        <w:rPr>
          <w:rFonts w:cs="Arial"/>
          <w:sz w:val="22"/>
          <w:szCs w:val="22"/>
        </w:rPr>
      </w:pPr>
      <w:r w:rsidRPr="00516861">
        <w:rPr>
          <w:rFonts w:cs="Arial"/>
          <w:b/>
          <w:sz w:val="22"/>
          <w:szCs w:val="22"/>
        </w:rPr>
        <w:t xml:space="preserve">Next </w:t>
      </w:r>
      <w:r>
        <w:rPr>
          <w:rFonts w:cs="Arial"/>
          <w:b/>
          <w:sz w:val="22"/>
          <w:szCs w:val="22"/>
        </w:rPr>
        <w:t xml:space="preserve">AC </w:t>
      </w:r>
      <w:r w:rsidRPr="00516861">
        <w:rPr>
          <w:rFonts w:cs="Arial"/>
          <w:b/>
          <w:sz w:val="22"/>
          <w:szCs w:val="22"/>
        </w:rPr>
        <w:t xml:space="preserve">meeting will be held on Wednesday, </w:t>
      </w:r>
      <w:r w:rsidR="000F6FB6">
        <w:rPr>
          <w:rFonts w:cs="Arial"/>
          <w:b/>
          <w:sz w:val="22"/>
          <w:szCs w:val="22"/>
        </w:rPr>
        <w:t>12 September</w:t>
      </w:r>
      <w:r w:rsidRPr="00516861">
        <w:rPr>
          <w:rFonts w:cs="Arial"/>
          <w:b/>
          <w:sz w:val="22"/>
          <w:szCs w:val="22"/>
        </w:rPr>
        <w:t xml:space="preserve"> 201</w:t>
      </w:r>
      <w:r>
        <w:rPr>
          <w:rFonts w:cs="Arial"/>
          <w:b/>
          <w:sz w:val="22"/>
          <w:szCs w:val="22"/>
        </w:rPr>
        <w:t>2</w:t>
      </w:r>
    </w:p>
    <w:p w:rsidR="00E613E5" w:rsidRDefault="00E613E5" w:rsidP="00A01907">
      <w:pPr>
        <w:spacing w:line="360" w:lineRule="auto"/>
        <w:jc w:val="both"/>
        <w:rPr>
          <w:rFonts w:cs="Arial"/>
        </w:rPr>
      </w:pPr>
    </w:p>
    <w:p w:rsidR="00E613E5" w:rsidRDefault="00E613E5" w:rsidP="00A01907">
      <w:pPr>
        <w:spacing w:line="360" w:lineRule="auto"/>
        <w:jc w:val="both"/>
        <w:rPr>
          <w:rFonts w:cs="Arial"/>
        </w:rPr>
      </w:pPr>
      <w:r w:rsidRPr="001010FC">
        <w:rPr>
          <w:rFonts w:cs="Arial"/>
        </w:rPr>
        <w:t>For further information please</w:t>
      </w:r>
      <w:r>
        <w:rPr>
          <w:rFonts w:cs="Arial"/>
        </w:rPr>
        <w:t xml:space="preserve"> contact the FTSE/JSE Indices Division</w:t>
      </w:r>
    </w:p>
    <w:p w:rsidR="00E613E5" w:rsidRDefault="00E613E5" w:rsidP="00E613E5">
      <w:pPr>
        <w:spacing w:line="360" w:lineRule="auto"/>
        <w:rPr>
          <w:rFonts w:cs="Arial"/>
        </w:rPr>
      </w:pPr>
      <w:r>
        <w:rPr>
          <w:rFonts w:cs="Arial"/>
        </w:rPr>
        <w:t>E</w:t>
      </w:r>
      <w:r w:rsidRPr="001010FC">
        <w:rPr>
          <w:rFonts w:cs="Arial"/>
        </w:rPr>
        <w:t>mail</w:t>
      </w:r>
      <w:r>
        <w:rPr>
          <w:rFonts w:cs="Arial"/>
        </w:rPr>
        <w:t>:</w:t>
      </w:r>
      <w:r>
        <w:rPr>
          <w:rFonts w:cs="Arial"/>
        </w:rPr>
        <w:tab/>
      </w:r>
      <w:hyperlink r:id="rId11" w:history="1">
        <w:r w:rsidRPr="001010FC">
          <w:rPr>
            <w:color w:val="0000FF"/>
            <w:u w:val="single"/>
          </w:rPr>
          <w:t>indices@jse.co.za</w:t>
        </w:r>
      </w:hyperlink>
    </w:p>
    <w:p w:rsidR="00E613E5" w:rsidRPr="00A01907" w:rsidRDefault="00E613E5" w:rsidP="00A01907">
      <w:pPr>
        <w:spacing w:line="360" w:lineRule="auto"/>
        <w:rPr>
          <w:rFonts w:cs="Arial"/>
        </w:rPr>
      </w:pPr>
      <w:r>
        <w:rPr>
          <w:rFonts w:cs="Arial"/>
        </w:rPr>
        <w:t>Tel:</w:t>
      </w:r>
      <w:r>
        <w:rPr>
          <w:rFonts w:cs="Arial"/>
        </w:rPr>
        <w:tab/>
        <w:t>+27 (0)11 520 7137</w:t>
      </w:r>
    </w:p>
    <w:sectPr w:rsidR="00E613E5" w:rsidRPr="00A01907" w:rsidSect="007A20A2">
      <w:headerReference w:type="even" r:id="rId12"/>
      <w:headerReference w:type="default" r:id="rId13"/>
      <w:footerReference w:type="default" r:id="rId14"/>
      <w:headerReference w:type="first" r:id="rId15"/>
      <w:footerReference w:type="first" r:id="rId16"/>
      <w:pgSz w:w="11918" w:h="16838"/>
      <w:pgMar w:top="1134" w:right="1077"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86" w:rsidRDefault="00543686">
      <w:r>
        <w:separator/>
      </w:r>
    </w:p>
  </w:endnote>
  <w:endnote w:type="continuationSeparator" w:id="0">
    <w:p w:rsidR="00543686" w:rsidRDefault="0054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2E4C93" w:rsidP="00C94EA6">
    <w:pPr>
      <w:pStyle w:val="Footer"/>
      <w:jc w:val="right"/>
      <w:rPr>
        <w:rFonts w:eastAsia="Times New Roman"/>
        <w:b/>
        <w:color w:val="808080"/>
        <w:sz w:val="14"/>
      </w:rPr>
    </w:pPr>
  </w:p>
  <w:p w:rsidR="002E4C93" w:rsidRDefault="002E4C93" w:rsidP="00C94EA6">
    <w:pPr>
      <w:pStyle w:val="Footer"/>
      <w:jc w:val="right"/>
      <w:rPr>
        <w:rFonts w:eastAsia="Times New Roman"/>
        <w:b/>
        <w:color w:val="808080"/>
        <w:sz w:val="14"/>
      </w:rPr>
    </w:pPr>
    <w:r w:rsidRPr="00C94EA6">
      <w:rPr>
        <w:rFonts w:eastAsia="Times New Roman"/>
        <w:b/>
        <w:color w:val="808080"/>
        <w:sz w:val="14"/>
      </w:rPr>
      <w:t xml:space="preserve">Page </w:t>
    </w:r>
    <w:r w:rsidR="006263E4" w:rsidRPr="00C94EA6">
      <w:rPr>
        <w:rFonts w:eastAsia="Times New Roman"/>
        <w:b/>
        <w:color w:val="808080"/>
        <w:sz w:val="14"/>
      </w:rPr>
      <w:fldChar w:fldCharType="begin"/>
    </w:r>
    <w:r w:rsidRPr="00C94EA6">
      <w:rPr>
        <w:rFonts w:eastAsia="Times New Roman"/>
        <w:b/>
        <w:color w:val="808080"/>
        <w:sz w:val="14"/>
      </w:rPr>
      <w:instrText xml:space="preserve"> PAGE </w:instrText>
    </w:r>
    <w:r w:rsidR="006263E4" w:rsidRPr="00C94EA6">
      <w:rPr>
        <w:rFonts w:eastAsia="Times New Roman"/>
        <w:b/>
        <w:color w:val="808080"/>
        <w:sz w:val="14"/>
      </w:rPr>
      <w:fldChar w:fldCharType="separate"/>
    </w:r>
    <w:r w:rsidR="001F5F91">
      <w:rPr>
        <w:rFonts w:eastAsia="Times New Roman"/>
        <w:b/>
        <w:noProof/>
        <w:color w:val="808080"/>
        <w:sz w:val="14"/>
      </w:rPr>
      <w:t>2</w:t>
    </w:r>
    <w:r w:rsidR="006263E4" w:rsidRPr="00C94EA6">
      <w:rPr>
        <w:rFonts w:eastAsia="Times New Roman"/>
        <w:b/>
        <w:color w:val="808080"/>
        <w:sz w:val="14"/>
      </w:rPr>
      <w:fldChar w:fldCharType="end"/>
    </w:r>
    <w:r w:rsidRPr="00C94EA6">
      <w:rPr>
        <w:rFonts w:eastAsia="Times New Roman"/>
        <w:b/>
        <w:color w:val="808080"/>
        <w:sz w:val="14"/>
      </w:rPr>
      <w:t xml:space="preserve"> of </w:t>
    </w:r>
    <w:r w:rsidR="006263E4"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6263E4" w:rsidRPr="00C94EA6">
      <w:rPr>
        <w:rFonts w:eastAsia="Times New Roman"/>
        <w:b/>
        <w:color w:val="808080"/>
        <w:sz w:val="14"/>
      </w:rPr>
      <w:fldChar w:fldCharType="separate"/>
    </w:r>
    <w:r w:rsidR="001F5F91">
      <w:rPr>
        <w:rFonts w:eastAsia="Times New Roman"/>
        <w:b/>
        <w:noProof/>
        <w:color w:val="808080"/>
        <w:sz w:val="14"/>
      </w:rPr>
      <w:t>2</w:t>
    </w:r>
    <w:r w:rsidR="006263E4" w:rsidRPr="00C94EA6">
      <w:rPr>
        <w:rFonts w:eastAsia="Times New Roman"/>
        <w:b/>
        <w:color w:val="808080"/>
        <w:sz w:val="14"/>
      </w:rPr>
      <w:fldChar w:fldCharType="end"/>
    </w:r>
  </w:p>
  <w:p w:rsidR="002E4C93" w:rsidRDefault="002E4C93" w:rsidP="00C94EA6">
    <w:pPr>
      <w:pStyle w:val="Footer"/>
      <w:jc w:val="right"/>
      <w:rPr>
        <w:rFonts w:eastAsia="Times New Roman"/>
        <w:b/>
        <w:color w:val="808080"/>
        <w:sz w:val="14"/>
      </w:rPr>
    </w:pPr>
  </w:p>
  <w:p w:rsidR="002E4C93" w:rsidRPr="00C94EA6" w:rsidRDefault="002E4C93"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2E4C93">
    <w:bookmarkStart w:id="8" w:name="LHS_JSE_Footer"/>
    <w:r>
      <w:rPr>
        <w:noProof/>
      </w:rPr>
      <w:drawing>
        <wp:inline distT="0" distB="0" distL="0" distR="0">
          <wp:extent cx="7572375" cy="1285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572375" cy="1285875"/>
                  </a:xfrm>
                  <a:prstGeom prst="rect">
                    <a:avLst/>
                  </a:prstGeom>
                  <a:noFill/>
                  <a:ln w="9525">
                    <a:noFill/>
                    <a:miter lim="800000"/>
                    <a:headEnd/>
                    <a:tailEnd/>
                  </a:ln>
                </pic:spPr>
              </pic:pic>
            </a:graphicData>
          </a:graphic>
        </wp:inline>
      </w:drawing>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86" w:rsidRDefault="00543686">
      <w:r>
        <w:separator/>
      </w:r>
    </w:p>
  </w:footnote>
  <w:footnote w:type="continuationSeparator" w:id="0">
    <w:p w:rsidR="00543686" w:rsidRDefault="0054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6263E4">
    <w:pPr>
      <w:framePr w:wrap="around" w:vAnchor="text" w:hAnchor="margin" w:xAlign="right" w:y="1"/>
    </w:pPr>
    <w:r>
      <w:fldChar w:fldCharType="begin"/>
    </w:r>
    <w:r w:rsidR="002E4C93">
      <w:instrText xml:space="preserve">PAGE  </w:instrText>
    </w:r>
    <w:r>
      <w:fldChar w:fldCharType="end"/>
    </w:r>
  </w:p>
  <w:p w:rsidR="002E4C93" w:rsidRDefault="002E4C9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54368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81" type="#_x0000_t202" style="position:absolute;left:0;text-align:left;margin-left:442.35pt;margin-top:.2pt;width:26.45pt;height:225.6pt;z-index:251658240;mso-position-vertical-relative:page" stroked="f">
          <v:textbox style="mso-next-textbox:#_x0000_s2081" inset="0,0,0,0">
            <w:txbxContent>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Pr="000575E4" w:rsidRDefault="002E4C9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pPr>
                        <w:rPr>
                          <w:rFonts w:eastAsia="Times New Roman" w:cs="Arial"/>
                          <w:color w:val="939598"/>
                          <w:szCs w:val="14"/>
                        </w:rPr>
                      </w:pPr>
                      <w:r>
                        <w:rPr>
                          <w:rFonts w:eastAsia="Times New Roman" w:cs="Arial"/>
                          <w:noProof/>
                          <w:szCs w:val="24"/>
                        </w:rPr>
                        <w:drawing>
                          <wp:inline distT="0" distB="0" distL="0" distR="0">
                            <wp:extent cx="152400" cy="1495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EF6146">
                <w:pPr>
                  <w:jc w:val="right"/>
                </w:pPr>
              </w:p>
            </w:txbxContent>
          </v:textbox>
          <w10:wrap anchory="page"/>
        </v:shape>
      </w:pict>
    </w: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Pr="000575E4" w:rsidRDefault="002E4C93" w:rsidP="00ED598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rsidP="00ED5981">
          <w:pPr>
            <w:framePr w:w="527" w:h="4683" w:hRule="exact" w:hSpace="181" w:wrap="around" w:vAnchor="text" w:hAnchor="page" w:x="11415" w:y="-719"/>
            <w:rPr>
              <w:rFonts w:eastAsia="Times New Roman" w:cs="Arial"/>
              <w:color w:val="939598"/>
              <w:szCs w:val="14"/>
            </w:rPr>
          </w:pPr>
          <w:r>
            <w:rPr>
              <w:rFonts w:eastAsia="Times New Roman" w:cs="Arial"/>
              <w:noProof/>
              <w:szCs w:val="24"/>
            </w:rPr>
            <w:drawing>
              <wp:inline distT="0" distB="0" distL="0" distR="0">
                <wp:extent cx="152400" cy="1495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EF6146">
    <w:pPr>
      <w:framePr w:w="527" w:h="4683" w:hRule="exact" w:hSpace="181" w:wrap="around" w:vAnchor="text" w:hAnchor="page" w:x="11415" w:y="-719"/>
      <w:shd w:val="solid" w:color="FFFFFF" w:fill="FFFFFF"/>
      <w:jc w:val="right"/>
    </w:pPr>
  </w:p>
  <w:p w:rsidR="002E4C93" w:rsidRPr="00EF6146" w:rsidRDefault="002E4C93"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54368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75" type="#_x0000_t202" style="position:absolute;left:0;text-align:left;margin-left:442.35pt;margin-top:.2pt;width:26.45pt;height:225.6pt;z-index:251657216;mso-position-vertical-relative:page" stroked="f">
          <v:textbox style="mso-next-textbox:#_x0000_s2075" inset="0,0,0,0">
            <w:txbxContent>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Pr="000575E4" w:rsidRDefault="002E4C9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pPr>
                        <w:rPr>
                          <w:rFonts w:eastAsia="Times New Roman" w:cs="Arial"/>
                          <w:color w:val="939598"/>
                          <w:szCs w:val="14"/>
                        </w:rPr>
                      </w:pPr>
                      <w:r>
                        <w:rPr>
                          <w:rFonts w:eastAsia="Times New Roman" w:cs="Arial"/>
                          <w:noProof/>
                          <w:szCs w:val="24"/>
                        </w:rPr>
                        <w:drawing>
                          <wp:inline distT="0" distB="0" distL="0" distR="0">
                            <wp:extent cx="152400" cy="14954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BD2E91">
                <w:pPr>
                  <w:jc w:val="right"/>
                </w:pPr>
              </w:p>
            </w:txbxContent>
          </v:textbox>
          <w10:wrap anchory="page"/>
        </v:shape>
      </w:pict>
    </w: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Pr="000575E4" w:rsidRDefault="002E4C93" w:rsidP="00ED5981">
    <w:pPr>
      <w:framePr w:w="527" w:h="4683" w:hRule="exact" w:hSpace="181" w:wrap="around" w:vAnchor="text" w:hAnchor="page" w:x="11415" w:y="-719"/>
      <w:rPr>
        <w:rFonts w:cs="Arial"/>
      </w:rPr>
    </w:pPr>
    <w:bookmarkStart w:id="4" w:name="LHS_JSE_Chevron"/>
    <w:bookmarkStart w:id="5"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rsidP="00ED5981">
          <w:pPr>
            <w:framePr w:w="527" w:h="4683" w:hRule="exact" w:hSpace="181" w:wrap="around" w:vAnchor="text" w:hAnchor="page" w:x="11415" w:y="-719"/>
            <w:rPr>
              <w:rFonts w:eastAsia="Times New Roman" w:cs="Arial"/>
              <w:color w:val="939598"/>
              <w:szCs w:val="14"/>
            </w:rPr>
          </w:pPr>
          <w:r>
            <w:rPr>
              <w:rFonts w:eastAsia="Times New Roman" w:cs="Arial"/>
              <w:noProof/>
              <w:szCs w:val="24"/>
            </w:rPr>
            <w:drawing>
              <wp:inline distT="0" distB="0" distL="0" distR="0">
                <wp:extent cx="152400" cy="1495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bookmarkEnd w:id="4"/>
    <w:bookmarkEnd w:id="5"/>
  </w:tbl>
  <w:p w:rsidR="002E4C93" w:rsidRPr="00866D23" w:rsidRDefault="002E4C93" w:rsidP="00EF6146">
    <w:pPr>
      <w:framePr w:w="527" w:h="4683" w:hRule="exact" w:hSpace="181" w:wrap="around" w:vAnchor="text" w:hAnchor="page" w:x="11415" w:y="-719"/>
      <w:shd w:val="solid" w:color="FFFFFF" w:fill="FFFFFF"/>
      <w:jc w:val="right"/>
    </w:pPr>
  </w:p>
  <w:p w:rsidR="002E4C93" w:rsidRDefault="002E4C93">
    <w:bookmarkStart w:id="6" w:name="LHS_YieldX_Header"/>
    <w:bookmarkStart w:id="7" w:name="LHS_JSE_Header"/>
    <w:r>
      <w:rPr>
        <w:noProof/>
      </w:rPr>
      <w:drawing>
        <wp:inline distT="0" distB="0" distL="0" distR="0">
          <wp:extent cx="7572375" cy="962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7572375" cy="962025"/>
                  </a:xfrm>
                  <a:prstGeom prst="rect">
                    <a:avLst/>
                  </a:prstGeom>
                  <a:noFill/>
                  <a:ln w="9525">
                    <a:noFill/>
                    <a:miter lim="800000"/>
                    <a:headEnd/>
                    <a:tailEnd/>
                  </a:ln>
                </pic:spPr>
              </pic:pic>
            </a:graphicData>
          </a:graphic>
        </wp:inline>
      </w:drawing>
    </w:r>
    <w:bookmarkEnd w:id="6"/>
    <w:bookmarkEnd w:id="7"/>
  </w:p>
  <w:p w:rsidR="002E4C93" w:rsidRDefault="002E4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72849EF4">
      <w:start w:val="1"/>
      <w:numFmt w:val="bullet"/>
      <w:lvlText w:val=""/>
      <w:lvlJc w:val="left"/>
      <w:pPr>
        <w:tabs>
          <w:tab w:val="num" w:pos="771"/>
        </w:tabs>
        <w:ind w:left="771" w:hanging="360"/>
      </w:pPr>
      <w:rPr>
        <w:rFonts w:ascii="Symbol" w:hAnsi="Symbol" w:hint="default"/>
      </w:rPr>
    </w:lvl>
    <w:lvl w:ilvl="1" w:tplc="7F6016E0" w:tentative="1">
      <w:start w:val="1"/>
      <w:numFmt w:val="bullet"/>
      <w:lvlText w:val="o"/>
      <w:lvlJc w:val="left"/>
      <w:pPr>
        <w:tabs>
          <w:tab w:val="num" w:pos="1491"/>
        </w:tabs>
        <w:ind w:left="1491" w:hanging="360"/>
      </w:pPr>
      <w:rPr>
        <w:rFonts w:ascii="Courier New" w:hAnsi="Courier New" w:hint="default"/>
      </w:rPr>
    </w:lvl>
    <w:lvl w:ilvl="2" w:tplc="DF988BEC" w:tentative="1">
      <w:start w:val="1"/>
      <w:numFmt w:val="bullet"/>
      <w:lvlText w:val=""/>
      <w:lvlJc w:val="left"/>
      <w:pPr>
        <w:tabs>
          <w:tab w:val="num" w:pos="2211"/>
        </w:tabs>
        <w:ind w:left="2211" w:hanging="360"/>
      </w:pPr>
      <w:rPr>
        <w:rFonts w:ascii="Wingdings" w:hAnsi="Wingdings" w:hint="default"/>
      </w:rPr>
    </w:lvl>
    <w:lvl w:ilvl="3" w:tplc="53AA17A4" w:tentative="1">
      <w:start w:val="1"/>
      <w:numFmt w:val="bullet"/>
      <w:lvlText w:val=""/>
      <w:lvlJc w:val="left"/>
      <w:pPr>
        <w:tabs>
          <w:tab w:val="num" w:pos="2931"/>
        </w:tabs>
        <w:ind w:left="2931" w:hanging="360"/>
      </w:pPr>
      <w:rPr>
        <w:rFonts w:ascii="Symbol" w:hAnsi="Symbol" w:hint="default"/>
      </w:rPr>
    </w:lvl>
    <w:lvl w:ilvl="4" w:tplc="659C86FC" w:tentative="1">
      <w:start w:val="1"/>
      <w:numFmt w:val="bullet"/>
      <w:lvlText w:val="o"/>
      <w:lvlJc w:val="left"/>
      <w:pPr>
        <w:tabs>
          <w:tab w:val="num" w:pos="3651"/>
        </w:tabs>
        <w:ind w:left="3651" w:hanging="360"/>
      </w:pPr>
      <w:rPr>
        <w:rFonts w:ascii="Courier New" w:hAnsi="Courier New" w:hint="default"/>
      </w:rPr>
    </w:lvl>
    <w:lvl w:ilvl="5" w:tplc="033A4330" w:tentative="1">
      <w:start w:val="1"/>
      <w:numFmt w:val="bullet"/>
      <w:lvlText w:val=""/>
      <w:lvlJc w:val="left"/>
      <w:pPr>
        <w:tabs>
          <w:tab w:val="num" w:pos="4371"/>
        </w:tabs>
        <w:ind w:left="4371" w:hanging="360"/>
      </w:pPr>
      <w:rPr>
        <w:rFonts w:ascii="Wingdings" w:hAnsi="Wingdings" w:hint="default"/>
      </w:rPr>
    </w:lvl>
    <w:lvl w:ilvl="6" w:tplc="E0886CEC" w:tentative="1">
      <w:start w:val="1"/>
      <w:numFmt w:val="bullet"/>
      <w:lvlText w:val=""/>
      <w:lvlJc w:val="left"/>
      <w:pPr>
        <w:tabs>
          <w:tab w:val="num" w:pos="5091"/>
        </w:tabs>
        <w:ind w:left="5091" w:hanging="360"/>
      </w:pPr>
      <w:rPr>
        <w:rFonts w:ascii="Symbol" w:hAnsi="Symbol" w:hint="default"/>
      </w:rPr>
    </w:lvl>
    <w:lvl w:ilvl="7" w:tplc="F330FCE8" w:tentative="1">
      <w:start w:val="1"/>
      <w:numFmt w:val="bullet"/>
      <w:lvlText w:val="o"/>
      <w:lvlJc w:val="left"/>
      <w:pPr>
        <w:tabs>
          <w:tab w:val="num" w:pos="5811"/>
        </w:tabs>
        <w:ind w:left="5811" w:hanging="360"/>
      </w:pPr>
      <w:rPr>
        <w:rFonts w:ascii="Courier New" w:hAnsi="Courier New" w:hint="default"/>
      </w:rPr>
    </w:lvl>
    <w:lvl w:ilvl="8" w:tplc="E40E7D1C" w:tentative="1">
      <w:start w:val="1"/>
      <w:numFmt w:val="bullet"/>
      <w:lvlText w:val=""/>
      <w:lvlJc w:val="left"/>
      <w:pPr>
        <w:tabs>
          <w:tab w:val="num" w:pos="6531"/>
        </w:tabs>
        <w:ind w:left="6531" w:hanging="360"/>
      </w:pPr>
      <w:rPr>
        <w:rFonts w:ascii="Wingdings" w:hAnsi="Wingdings" w:hint="default"/>
      </w:rPr>
    </w:lvl>
  </w:abstractNum>
  <w:abstractNum w:abstractNumId="2">
    <w:nsid w:val="2A3D1936"/>
    <w:multiLevelType w:val="hybridMultilevel"/>
    <w:tmpl w:val="9F2ABDF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2E1C24D7"/>
    <w:multiLevelType w:val="hybridMultilevel"/>
    <w:tmpl w:val="F618B712"/>
    <w:lvl w:ilvl="0" w:tplc="1C090001">
      <w:start w:val="1"/>
      <w:numFmt w:val="bullet"/>
      <w:lvlText w:val=""/>
      <w:lvlJc w:val="left"/>
      <w:pPr>
        <w:ind w:left="1335" w:hanging="360"/>
      </w:pPr>
      <w:rPr>
        <w:rFonts w:ascii="Symbol" w:hAnsi="Symbol" w:hint="default"/>
      </w:rPr>
    </w:lvl>
    <w:lvl w:ilvl="1" w:tplc="1C090003" w:tentative="1">
      <w:start w:val="1"/>
      <w:numFmt w:val="bullet"/>
      <w:lvlText w:val="o"/>
      <w:lvlJc w:val="left"/>
      <w:pPr>
        <w:ind w:left="2055" w:hanging="360"/>
      </w:pPr>
      <w:rPr>
        <w:rFonts w:ascii="Courier New" w:hAnsi="Courier New" w:cs="Courier New" w:hint="default"/>
      </w:rPr>
    </w:lvl>
    <w:lvl w:ilvl="2" w:tplc="1C090005" w:tentative="1">
      <w:start w:val="1"/>
      <w:numFmt w:val="bullet"/>
      <w:lvlText w:val=""/>
      <w:lvlJc w:val="left"/>
      <w:pPr>
        <w:ind w:left="2775" w:hanging="360"/>
      </w:pPr>
      <w:rPr>
        <w:rFonts w:ascii="Wingdings" w:hAnsi="Wingdings" w:hint="default"/>
      </w:rPr>
    </w:lvl>
    <w:lvl w:ilvl="3" w:tplc="1C090001" w:tentative="1">
      <w:start w:val="1"/>
      <w:numFmt w:val="bullet"/>
      <w:lvlText w:val=""/>
      <w:lvlJc w:val="left"/>
      <w:pPr>
        <w:ind w:left="3495" w:hanging="360"/>
      </w:pPr>
      <w:rPr>
        <w:rFonts w:ascii="Symbol" w:hAnsi="Symbol" w:hint="default"/>
      </w:rPr>
    </w:lvl>
    <w:lvl w:ilvl="4" w:tplc="1C090003" w:tentative="1">
      <w:start w:val="1"/>
      <w:numFmt w:val="bullet"/>
      <w:lvlText w:val="o"/>
      <w:lvlJc w:val="left"/>
      <w:pPr>
        <w:ind w:left="4215" w:hanging="360"/>
      </w:pPr>
      <w:rPr>
        <w:rFonts w:ascii="Courier New" w:hAnsi="Courier New" w:cs="Courier New" w:hint="default"/>
      </w:rPr>
    </w:lvl>
    <w:lvl w:ilvl="5" w:tplc="1C090005" w:tentative="1">
      <w:start w:val="1"/>
      <w:numFmt w:val="bullet"/>
      <w:lvlText w:val=""/>
      <w:lvlJc w:val="left"/>
      <w:pPr>
        <w:ind w:left="4935" w:hanging="360"/>
      </w:pPr>
      <w:rPr>
        <w:rFonts w:ascii="Wingdings" w:hAnsi="Wingdings" w:hint="default"/>
      </w:rPr>
    </w:lvl>
    <w:lvl w:ilvl="6" w:tplc="1C090001" w:tentative="1">
      <w:start w:val="1"/>
      <w:numFmt w:val="bullet"/>
      <w:lvlText w:val=""/>
      <w:lvlJc w:val="left"/>
      <w:pPr>
        <w:ind w:left="5655" w:hanging="360"/>
      </w:pPr>
      <w:rPr>
        <w:rFonts w:ascii="Symbol" w:hAnsi="Symbol" w:hint="default"/>
      </w:rPr>
    </w:lvl>
    <w:lvl w:ilvl="7" w:tplc="1C090003" w:tentative="1">
      <w:start w:val="1"/>
      <w:numFmt w:val="bullet"/>
      <w:lvlText w:val="o"/>
      <w:lvlJc w:val="left"/>
      <w:pPr>
        <w:ind w:left="6375" w:hanging="360"/>
      </w:pPr>
      <w:rPr>
        <w:rFonts w:ascii="Courier New" w:hAnsi="Courier New" w:cs="Courier New" w:hint="default"/>
      </w:rPr>
    </w:lvl>
    <w:lvl w:ilvl="8" w:tplc="1C090005" w:tentative="1">
      <w:start w:val="1"/>
      <w:numFmt w:val="bullet"/>
      <w:lvlText w:val=""/>
      <w:lvlJc w:val="left"/>
      <w:pPr>
        <w:ind w:left="7095" w:hanging="360"/>
      </w:pPr>
      <w:rPr>
        <w:rFonts w:ascii="Wingdings" w:hAnsi="Wingdings" w:hint="default"/>
      </w:rPr>
    </w:lvl>
  </w:abstractNum>
  <w:abstractNum w:abstractNumId="4">
    <w:nsid w:val="321579B4"/>
    <w:multiLevelType w:val="hybridMultilevel"/>
    <w:tmpl w:val="79F8A1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116F83"/>
    <w:multiLevelType w:val="hybridMultilevel"/>
    <w:tmpl w:val="939E97B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49977C39"/>
    <w:multiLevelType w:val="multilevel"/>
    <w:tmpl w:val="EDACA304"/>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8">
    <w:nsid w:val="53117215"/>
    <w:multiLevelType w:val="hybridMultilevel"/>
    <w:tmpl w:val="1CF68642"/>
    <w:lvl w:ilvl="0" w:tplc="9D9288AE">
      <w:start w:val="1"/>
      <w:numFmt w:val="bullet"/>
      <w:pStyle w:val="JSEBodyCopyBullets"/>
      <w:lvlText w:val=""/>
      <w:lvlJc w:val="left"/>
      <w:pPr>
        <w:tabs>
          <w:tab w:val="num" w:pos="720"/>
        </w:tabs>
        <w:ind w:left="720" w:hanging="360"/>
      </w:pPr>
      <w:rPr>
        <w:rFonts w:ascii="Symbol" w:hAnsi="Symbol" w:hint="default"/>
      </w:rPr>
    </w:lvl>
    <w:lvl w:ilvl="1" w:tplc="E3B41E3C" w:tentative="1">
      <w:start w:val="1"/>
      <w:numFmt w:val="bullet"/>
      <w:lvlText w:val="o"/>
      <w:lvlJc w:val="left"/>
      <w:pPr>
        <w:tabs>
          <w:tab w:val="num" w:pos="1440"/>
        </w:tabs>
        <w:ind w:left="1440" w:hanging="360"/>
      </w:pPr>
      <w:rPr>
        <w:rFonts w:ascii="Courier New" w:hAnsi="Courier New" w:hint="default"/>
      </w:rPr>
    </w:lvl>
    <w:lvl w:ilvl="2" w:tplc="66901FFE" w:tentative="1">
      <w:start w:val="1"/>
      <w:numFmt w:val="bullet"/>
      <w:lvlText w:val=""/>
      <w:lvlJc w:val="left"/>
      <w:pPr>
        <w:tabs>
          <w:tab w:val="num" w:pos="2160"/>
        </w:tabs>
        <w:ind w:left="2160" w:hanging="360"/>
      </w:pPr>
      <w:rPr>
        <w:rFonts w:ascii="Wingdings" w:hAnsi="Wingdings" w:hint="default"/>
      </w:rPr>
    </w:lvl>
    <w:lvl w:ilvl="3" w:tplc="A134AE86" w:tentative="1">
      <w:start w:val="1"/>
      <w:numFmt w:val="bullet"/>
      <w:lvlText w:val=""/>
      <w:lvlJc w:val="left"/>
      <w:pPr>
        <w:tabs>
          <w:tab w:val="num" w:pos="2880"/>
        </w:tabs>
        <w:ind w:left="2880" w:hanging="360"/>
      </w:pPr>
      <w:rPr>
        <w:rFonts w:ascii="Symbol" w:hAnsi="Symbol" w:hint="default"/>
      </w:rPr>
    </w:lvl>
    <w:lvl w:ilvl="4" w:tplc="F2BA4F94" w:tentative="1">
      <w:start w:val="1"/>
      <w:numFmt w:val="bullet"/>
      <w:lvlText w:val="o"/>
      <w:lvlJc w:val="left"/>
      <w:pPr>
        <w:tabs>
          <w:tab w:val="num" w:pos="3600"/>
        </w:tabs>
        <w:ind w:left="3600" w:hanging="360"/>
      </w:pPr>
      <w:rPr>
        <w:rFonts w:ascii="Courier New" w:hAnsi="Courier New" w:hint="default"/>
      </w:rPr>
    </w:lvl>
    <w:lvl w:ilvl="5" w:tplc="70E695E2" w:tentative="1">
      <w:start w:val="1"/>
      <w:numFmt w:val="bullet"/>
      <w:lvlText w:val=""/>
      <w:lvlJc w:val="left"/>
      <w:pPr>
        <w:tabs>
          <w:tab w:val="num" w:pos="4320"/>
        </w:tabs>
        <w:ind w:left="4320" w:hanging="360"/>
      </w:pPr>
      <w:rPr>
        <w:rFonts w:ascii="Wingdings" w:hAnsi="Wingdings" w:hint="default"/>
      </w:rPr>
    </w:lvl>
    <w:lvl w:ilvl="6" w:tplc="A6940DDC" w:tentative="1">
      <w:start w:val="1"/>
      <w:numFmt w:val="bullet"/>
      <w:lvlText w:val=""/>
      <w:lvlJc w:val="left"/>
      <w:pPr>
        <w:tabs>
          <w:tab w:val="num" w:pos="5040"/>
        </w:tabs>
        <w:ind w:left="5040" w:hanging="360"/>
      </w:pPr>
      <w:rPr>
        <w:rFonts w:ascii="Symbol" w:hAnsi="Symbol" w:hint="default"/>
      </w:rPr>
    </w:lvl>
    <w:lvl w:ilvl="7" w:tplc="F27AE5DE" w:tentative="1">
      <w:start w:val="1"/>
      <w:numFmt w:val="bullet"/>
      <w:lvlText w:val="o"/>
      <w:lvlJc w:val="left"/>
      <w:pPr>
        <w:tabs>
          <w:tab w:val="num" w:pos="5760"/>
        </w:tabs>
        <w:ind w:left="5760" w:hanging="360"/>
      </w:pPr>
      <w:rPr>
        <w:rFonts w:ascii="Courier New" w:hAnsi="Courier New" w:hint="default"/>
      </w:rPr>
    </w:lvl>
    <w:lvl w:ilvl="8" w:tplc="1D6C0B12" w:tentative="1">
      <w:start w:val="1"/>
      <w:numFmt w:val="bullet"/>
      <w:lvlText w:val=""/>
      <w:lvlJc w:val="left"/>
      <w:pPr>
        <w:tabs>
          <w:tab w:val="num" w:pos="6480"/>
        </w:tabs>
        <w:ind w:left="6480" w:hanging="360"/>
      </w:pPr>
      <w:rPr>
        <w:rFonts w:ascii="Wingdings" w:hAnsi="Wingdings" w:hint="default"/>
      </w:rPr>
    </w:lvl>
  </w:abstractNum>
  <w:abstractNum w:abstractNumId="9">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10">
    <w:nsid w:val="5AAA7DAB"/>
    <w:multiLevelType w:val="hybridMultilevel"/>
    <w:tmpl w:val="8788DC1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7"/>
  </w:num>
  <w:num w:numId="3">
    <w:abstractNumId w:val="9"/>
  </w:num>
  <w:num w:numId="4">
    <w:abstractNumId w:val="0"/>
  </w:num>
  <w:num w:numId="5">
    <w:abstractNumId w:val="11"/>
  </w:num>
  <w:num w:numId="6">
    <w:abstractNumId w:val="8"/>
  </w:num>
  <w:num w:numId="7">
    <w:abstractNumId w:val="6"/>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5E1116"/>
    <w:rsid w:val="00005ABD"/>
    <w:rsid w:val="00005E65"/>
    <w:rsid w:val="00010D3E"/>
    <w:rsid w:val="00013B1F"/>
    <w:rsid w:val="00022F45"/>
    <w:rsid w:val="0002546C"/>
    <w:rsid w:val="000555D7"/>
    <w:rsid w:val="00055D9B"/>
    <w:rsid w:val="00056347"/>
    <w:rsid w:val="000712A0"/>
    <w:rsid w:val="000903E9"/>
    <w:rsid w:val="000A16A0"/>
    <w:rsid w:val="000A4D69"/>
    <w:rsid w:val="000B20DB"/>
    <w:rsid w:val="000B4AD4"/>
    <w:rsid w:val="000D2943"/>
    <w:rsid w:val="000D4CC3"/>
    <w:rsid w:val="000F6FB6"/>
    <w:rsid w:val="001115AD"/>
    <w:rsid w:val="0011333F"/>
    <w:rsid w:val="00124F12"/>
    <w:rsid w:val="001340B6"/>
    <w:rsid w:val="00136480"/>
    <w:rsid w:val="00144640"/>
    <w:rsid w:val="0014633C"/>
    <w:rsid w:val="0015338D"/>
    <w:rsid w:val="001669F8"/>
    <w:rsid w:val="00166E91"/>
    <w:rsid w:val="00171CD0"/>
    <w:rsid w:val="0017440B"/>
    <w:rsid w:val="00190583"/>
    <w:rsid w:val="00191037"/>
    <w:rsid w:val="0019748E"/>
    <w:rsid w:val="001B2E6D"/>
    <w:rsid w:val="001C435B"/>
    <w:rsid w:val="001F5F91"/>
    <w:rsid w:val="002110B0"/>
    <w:rsid w:val="002164CA"/>
    <w:rsid w:val="00222736"/>
    <w:rsid w:val="002310FB"/>
    <w:rsid w:val="00245C4C"/>
    <w:rsid w:val="0024708D"/>
    <w:rsid w:val="002504BB"/>
    <w:rsid w:val="00260C55"/>
    <w:rsid w:val="0026353A"/>
    <w:rsid w:val="00267880"/>
    <w:rsid w:val="00272072"/>
    <w:rsid w:val="002740EF"/>
    <w:rsid w:val="002815EA"/>
    <w:rsid w:val="002868D6"/>
    <w:rsid w:val="002912EF"/>
    <w:rsid w:val="002933BA"/>
    <w:rsid w:val="002A515A"/>
    <w:rsid w:val="002C1FEA"/>
    <w:rsid w:val="002C62CE"/>
    <w:rsid w:val="002E4C93"/>
    <w:rsid w:val="002E70B9"/>
    <w:rsid w:val="003023E7"/>
    <w:rsid w:val="00302CC5"/>
    <w:rsid w:val="00324BB6"/>
    <w:rsid w:val="00325F46"/>
    <w:rsid w:val="00337D65"/>
    <w:rsid w:val="00346A50"/>
    <w:rsid w:val="00350F9A"/>
    <w:rsid w:val="00353CE2"/>
    <w:rsid w:val="00355FE4"/>
    <w:rsid w:val="00374FE5"/>
    <w:rsid w:val="0038500A"/>
    <w:rsid w:val="00392528"/>
    <w:rsid w:val="00393A29"/>
    <w:rsid w:val="003B5942"/>
    <w:rsid w:val="003D7ED3"/>
    <w:rsid w:val="003F6B9F"/>
    <w:rsid w:val="004014E1"/>
    <w:rsid w:val="004050FC"/>
    <w:rsid w:val="00406D9B"/>
    <w:rsid w:val="00416A9B"/>
    <w:rsid w:val="00424FD9"/>
    <w:rsid w:val="00426114"/>
    <w:rsid w:val="00431A28"/>
    <w:rsid w:val="00442867"/>
    <w:rsid w:val="00444500"/>
    <w:rsid w:val="00461550"/>
    <w:rsid w:val="004715A1"/>
    <w:rsid w:val="004803F9"/>
    <w:rsid w:val="00485145"/>
    <w:rsid w:val="00485C82"/>
    <w:rsid w:val="004861BE"/>
    <w:rsid w:val="0049658B"/>
    <w:rsid w:val="004970C1"/>
    <w:rsid w:val="004A5288"/>
    <w:rsid w:val="004B1B95"/>
    <w:rsid w:val="004B261A"/>
    <w:rsid w:val="004B2746"/>
    <w:rsid w:val="004D1542"/>
    <w:rsid w:val="004E2246"/>
    <w:rsid w:val="004E300A"/>
    <w:rsid w:val="004F5FC1"/>
    <w:rsid w:val="00501D91"/>
    <w:rsid w:val="005121B1"/>
    <w:rsid w:val="00515E9B"/>
    <w:rsid w:val="00521D70"/>
    <w:rsid w:val="00523145"/>
    <w:rsid w:val="00526FA5"/>
    <w:rsid w:val="00533FB1"/>
    <w:rsid w:val="00543686"/>
    <w:rsid w:val="00544ADF"/>
    <w:rsid w:val="00563958"/>
    <w:rsid w:val="00564250"/>
    <w:rsid w:val="005646B6"/>
    <w:rsid w:val="00570F91"/>
    <w:rsid w:val="005716BB"/>
    <w:rsid w:val="00580656"/>
    <w:rsid w:val="005A28EB"/>
    <w:rsid w:val="005A2F49"/>
    <w:rsid w:val="005A78B3"/>
    <w:rsid w:val="005B2C23"/>
    <w:rsid w:val="005B68FB"/>
    <w:rsid w:val="005C0830"/>
    <w:rsid w:val="005D0799"/>
    <w:rsid w:val="005D2AAA"/>
    <w:rsid w:val="005E1116"/>
    <w:rsid w:val="005F643C"/>
    <w:rsid w:val="005F792E"/>
    <w:rsid w:val="005F7B4A"/>
    <w:rsid w:val="00611A25"/>
    <w:rsid w:val="006141D1"/>
    <w:rsid w:val="006263E4"/>
    <w:rsid w:val="00644277"/>
    <w:rsid w:val="00646E1D"/>
    <w:rsid w:val="00650E7A"/>
    <w:rsid w:val="0065340D"/>
    <w:rsid w:val="006558A8"/>
    <w:rsid w:val="0065651E"/>
    <w:rsid w:val="00657397"/>
    <w:rsid w:val="00672215"/>
    <w:rsid w:val="006725A9"/>
    <w:rsid w:val="0067642B"/>
    <w:rsid w:val="00677EF2"/>
    <w:rsid w:val="006835AC"/>
    <w:rsid w:val="0068753C"/>
    <w:rsid w:val="0069722F"/>
    <w:rsid w:val="006A675C"/>
    <w:rsid w:val="006B0389"/>
    <w:rsid w:val="006B581D"/>
    <w:rsid w:val="006B6F82"/>
    <w:rsid w:val="006B7C7A"/>
    <w:rsid w:val="006C4696"/>
    <w:rsid w:val="006C5603"/>
    <w:rsid w:val="006C60CE"/>
    <w:rsid w:val="0070241A"/>
    <w:rsid w:val="007350C5"/>
    <w:rsid w:val="00752B56"/>
    <w:rsid w:val="007644F2"/>
    <w:rsid w:val="007646C1"/>
    <w:rsid w:val="00777E52"/>
    <w:rsid w:val="00790BAF"/>
    <w:rsid w:val="007A20A2"/>
    <w:rsid w:val="007A581D"/>
    <w:rsid w:val="007A6686"/>
    <w:rsid w:val="007A76EF"/>
    <w:rsid w:val="007C6C12"/>
    <w:rsid w:val="007C7AF6"/>
    <w:rsid w:val="007D09BA"/>
    <w:rsid w:val="007D21B1"/>
    <w:rsid w:val="007D62C4"/>
    <w:rsid w:val="007D7A48"/>
    <w:rsid w:val="007E1EA4"/>
    <w:rsid w:val="007F3B26"/>
    <w:rsid w:val="007F3B30"/>
    <w:rsid w:val="00802614"/>
    <w:rsid w:val="00806B5B"/>
    <w:rsid w:val="00814D55"/>
    <w:rsid w:val="0081661F"/>
    <w:rsid w:val="00825060"/>
    <w:rsid w:val="008402B0"/>
    <w:rsid w:val="00841519"/>
    <w:rsid w:val="00866D23"/>
    <w:rsid w:val="00872C0B"/>
    <w:rsid w:val="008755B9"/>
    <w:rsid w:val="00880DAE"/>
    <w:rsid w:val="0089030B"/>
    <w:rsid w:val="00895EF6"/>
    <w:rsid w:val="008C4F3F"/>
    <w:rsid w:val="008C7F5C"/>
    <w:rsid w:val="0090141A"/>
    <w:rsid w:val="00903408"/>
    <w:rsid w:val="00915FA7"/>
    <w:rsid w:val="0091703A"/>
    <w:rsid w:val="009327B7"/>
    <w:rsid w:val="00933691"/>
    <w:rsid w:val="00942462"/>
    <w:rsid w:val="00945331"/>
    <w:rsid w:val="00953712"/>
    <w:rsid w:val="00976FD9"/>
    <w:rsid w:val="00984BB8"/>
    <w:rsid w:val="009902D5"/>
    <w:rsid w:val="009904FF"/>
    <w:rsid w:val="00990DF5"/>
    <w:rsid w:val="009958AB"/>
    <w:rsid w:val="009A0F59"/>
    <w:rsid w:val="009A5902"/>
    <w:rsid w:val="009B0860"/>
    <w:rsid w:val="009B4E99"/>
    <w:rsid w:val="009B5F4E"/>
    <w:rsid w:val="009B6051"/>
    <w:rsid w:val="009C604E"/>
    <w:rsid w:val="009D596E"/>
    <w:rsid w:val="009E36B0"/>
    <w:rsid w:val="009F54C6"/>
    <w:rsid w:val="009F66C4"/>
    <w:rsid w:val="009F7B19"/>
    <w:rsid w:val="00A012C0"/>
    <w:rsid w:val="00A01907"/>
    <w:rsid w:val="00A1340B"/>
    <w:rsid w:val="00A241AB"/>
    <w:rsid w:val="00A2649B"/>
    <w:rsid w:val="00A307C0"/>
    <w:rsid w:val="00A43C1A"/>
    <w:rsid w:val="00A63618"/>
    <w:rsid w:val="00A6408C"/>
    <w:rsid w:val="00A67549"/>
    <w:rsid w:val="00A70821"/>
    <w:rsid w:val="00A73F87"/>
    <w:rsid w:val="00A853F8"/>
    <w:rsid w:val="00A920E2"/>
    <w:rsid w:val="00A967E4"/>
    <w:rsid w:val="00AA3EC1"/>
    <w:rsid w:val="00AB0497"/>
    <w:rsid w:val="00AB24F2"/>
    <w:rsid w:val="00AB4638"/>
    <w:rsid w:val="00AB6FF8"/>
    <w:rsid w:val="00AE48A5"/>
    <w:rsid w:val="00AF0E74"/>
    <w:rsid w:val="00B01BB9"/>
    <w:rsid w:val="00B020B7"/>
    <w:rsid w:val="00B209AA"/>
    <w:rsid w:val="00B270F7"/>
    <w:rsid w:val="00B41E9C"/>
    <w:rsid w:val="00B44AAF"/>
    <w:rsid w:val="00B61EDF"/>
    <w:rsid w:val="00B703DC"/>
    <w:rsid w:val="00B74F49"/>
    <w:rsid w:val="00B858AB"/>
    <w:rsid w:val="00B9022B"/>
    <w:rsid w:val="00B90BC3"/>
    <w:rsid w:val="00B93827"/>
    <w:rsid w:val="00BB2B88"/>
    <w:rsid w:val="00BB484F"/>
    <w:rsid w:val="00BD2E91"/>
    <w:rsid w:val="00BD5EA2"/>
    <w:rsid w:val="00BE31BA"/>
    <w:rsid w:val="00BE4B0D"/>
    <w:rsid w:val="00BE6382"/>
    <w:rsid w:val="00BF0528"/>
    <w:rsid w:val="00C06D31"/>
    <w:rsid w:val="00C243D3"/>
    <w:rsid w:val="00C51394"/>
    <w:rsid w:val="00C53598"/>
    <w:rsid w:val="00C65F18"/>
    <w:rsid w:val="00C723BE"/>
    <w:rsid w:val="00C737D8"/>
    <w:rsid w:val="00C77432"/>
    <w:rsid w:val="00C816A0"/>
    <w:rsid w:val="00C9245D"/>
    <w:rsid w:val="00C94EA6"/>
    <w:rsid w:val="00CA1112"/>
    <w:rsid w:val="00CA1C67"/>
    <w:rsid w:val="00CA3F48"/>
    <w:rsid w:val="00CA3F5F"/>
    <w:rsid w:val="00CB1128"/>
    <w:rsid w:val="00CB3D47"/>
    <w:rsid w:val="00CC02AA"/>
    <w:rsid w:val="00CC7197"/>
    <w:rsid w:val="00CC7D05"/>
    <w:rsid w:val="00CE5F0C"/>
    <w:rsid w:val="00CF17A6"/>
    <w:rsid w:val="00CF1B75"/>
    <w:rsid w:val="00CF632C"/>
    <w:rsid w:val="00D049D3"/>
    <w:rsid w:val="00D07BFE"/>
    <w:rsid w:val="00D114D0"/>
    <w:rsid w:val="00D33FC1"/>
    <w:rsid w:val="00D46F4A"/>
    <w:rsid w:val="00D6075F"/>
    <w:rsid w:val="00D60F1E"/>
    <w:rsid w:val="00D61F92"/>
    <w:rsid w:val="00D66EF6"/>
    <w:rsid w:val="00D86D00"/>
    <w:rsid w:val="00D93002"/>
    <w:rsid w:val="00D94306"/>
    <w:rsid w:val="00D946DB"/>
    <w:rsid w:val="00D95D34"/>
    <w:rsid w:val="00DB0E6F"/>
    <w:rsid w:val="00DC6D4A"/>
    <w:rsid w:val="00DE67B9"/>
    <w:rsid w:val="00DE6CDB"/>
    <w:rsid w:val="00DF08B5"/>
    <w:rsid w:val="00DF39ED"/>
    <w:rsid w:val="00E2620D"/>
    <w:rsid w:val="00E35CD6"/>
    <w:rsid w:val="00E442E8"/>
    <w:rsid w:val="00E50C0D"/>
    <w:rsid w:val="00E53219"/>
    <w:rsid w:val="00E545A4"/>
    <w:rsid w:val="00E6127E"/>
    <w:rsid w:val="00E613E5"/>
    <w:rsid w:val="00E663F2"/>
    <w:rsid w:val="00E66A8F"/>
    <w:rsid w:val="00E72627"/>
    <w:rsid w:val="00E73603"/>
    <w:rsid w:val="00E901E5"/>
    <w:rsid w:val="00E902CA"/>
    <w:rsid w:val="00EB0685"/>
    <w:rsid w:val="00EB1594"/>
    <w:rsid w:val="00EB68BC"/>
    <w:rsid w:val="00EC29FB"/>
    <w:rsid w:val="00EC46FB"/>
    <w:rsid w:val="00EC5444"/>
    <w:rsid w:val="00EC65FF"/>
    <w:rsid w:val="00ED0ACC"/>
    <w:rsid w:val="00ED30AF"/>
    <w:rsid w:val="00ED3875"/>
    <w:rsid w:val="00ED5981"/>
    <w:rsid w:val="00ED7F68"/>
    <w:rsid w:val="00EF0387"/>
    <w:rsid w:val="00EF6146"/>
    <w:rsid w:val="00F14F40"/>
    <w:rsid w:val="00F22775"/>
    <w:rsid w:val="00F25883"/>
    <w:rsid w:val="00F26D52"/>
    <w:rsid w:val="00F27221"/>
    <w:rsid w:val="00F32B8A"/>
    <w:rsid w:val="00F40425"/>
    <w:rsid w:val="00F4362E"/>
    <w:rsid w:val="00F45B8F"/>
    <w:rsid w:val="00F52D6D"/>
    <w:rsid w:val="00F5402F"/>
    <w:rsid w:val="00F545A9"/>
    <w:rsid w:val="00F600EF"/>
    <w:rsid w:val="00F607E2"/>
    <w:rsid w:val="00F60E1E"/>
    <w:rsid w:val="00F65191"/>
    <w:rsid w:val="00F737FE"/>
    <w:rsid w:val="00F758B1"/>
    <w:rsid w:val="00F823C6"/>
    <w:rsid w:val="00F84B90"/>
    <w:rsid w:val="00F96F52"/>
    <w:rsid w:val="00F9742D"/>
    <w:rsid w:val="00FA6950"/>
    <w:rsid w:val="00FB2F7A"/>
    <w:rsid w:val="00FC64F9"/>
    <w:rsid w:val="00FE694D"/>
    <w:rsid w:val="00FF3B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AB"/>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numPr>
        <w:numId w:val="7"/>
      </w:numPr>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numPr>
        <w:ilvl w:val="1"/>
        <w:numId w:val="7"/>
      </w:numPr>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2815EA"/>
    <w:pPr>
      <w:keepNext/>
      <w:outlineLvl w:val="3"/>
    </w:pPr>
    <w:rPr>
      <w:b/>
    </w:rPr>
  </w:style>
  <w:style w:type="paragraph" w:styleId="Heading5">
    <w:name w:val="heading 5"/>
    <w:basedOn w:val="Normal"/>
    <w:next w:val="Normal"/>
    <w:qFormat/>
    <w:rsid w:val="002815EA"/>
    <w:pPr>
      <w:keepNext/>
      <w:jc w:val="right"/>
      <w:outlineLvl w:val="4"/>
    </w:pPr>
    <w:rPr>
      <w:b/>
    </w:rPr>
  </w:style>
  <w:style w:type="paragraph" w:styleId="Heading6">
    <w:name w:val="heading 6"/>
    <w:basedOn w:val="Normal"/>
    <w:next w:val="Normal"/>
    <w:qFormat/>
    <w:rsid w:val="002815E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2815EA"/>
    <w:pPr>
      <w:tabs>
        <w:tab w:val="left" w:pos="568"/>
      </w:tabs>
      <w:jc w:val="both"/>
    </w:pPr>
  </w:style>
  <w:style w:type="paragraph" w:customStyle="1" w:styleId="JSEBodyCopyArial10ptBoldRight">
    <w:name w:val="JSE Body Copy Arial 10pt Bold Right"/>
    <w:basedOn w:val="Heading5"/>
    <w:rsid w:val="002815EA"/>
  </w:style>
  <w:style w:type="paragraph" w:customStyle="1" w:styleId="JSESubjectLine10ptBoldLeft">
    <w:name w:val="JSE Subject Line 10pt Bold Left"/>
    <w:basedOn w:val="Heading6"/>
    <w:rsid w:val="002815EA"/>
    <w:pPr>
      <w:jc w:val="both"/>
    </w:pPr>
  </w:style>
  <w:style w:type="paragraph" w:customStyle="1" w:styleId="JSEDocversion">
    <w:name w:val="JSE Doc version"/>
    <w:basedOn w:val="JSEBodyCopyArial10ptRoman"/>
    <w:rsid w:val="002815EA"/>
    <w:pPr>
      <w:jc w:val="right"/>
    </w:pPr>
    <w:rPr>
      <w:sz w:val="13"/>
    </w:rPr>
  </w:style>
  <w:style w:type="paragraph" w:customStyle="1" w:styleId="JSEBodyCopyBullets">
    <w:name w:val="JSE Body Copy Bullets"/>
    <w:basedOn w:val="JSEBodyCopyArial10ptRoman"/>
    <w:rsid w:val="002815EA"/>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2815EA"/>
    <w:pPr>
      <w:jc w:val="left"/>
    </w:pPr>
  </w:style>
  <w:style w:type="paragraph" w:styleId="Footer">
    <w:name w:val="footer"/>
    <w:basedOn w:val="Normal"/>
    <w:rsid w:val="002815EA"/>
    <w:pPr>
      <w:tabs>
        <w:tab w:val="center" w:pos="4320"/>
        <w:tab w:val="right" w:pos="8640"/>
      </w:tabs>
    </w:pPr>
  </w:style>
  <w:style w:type="paragraph" w:styleId="BodyTextIndent3">
    <w:name w:val="Body Text Indent 3"/>
    <w:basedOn w:val="Normal"/>
    <w:rsid w:val="002815EA"/>
    <w:pPr>
      <w:spacing w:after="120"/>
      <w:ind w:left="346"/>
      <w:jc w:val="both"/>
    </w:pPr>
    <w:rPr>
      <w:rFonts w:eastAsia="Times New Roman"/>
      <w:color w:val="000000"/>
      <w:lang w:val="en-AU"/>
    </w:rPr>
  </w:style>
  <w:style w:type="paragraph" w:styleId="BodyText">
    <w:name w:val="Body Text"/>
    <w:basedOn w:val="Normal"/>
    <w:rsid w:val="002815EA"/>
    <w:pPr>
      <w:spacing w:before="120" w:after="120"/>
      <w:ind w:right="119"/>
      <w:jc w:val="both"/>
    </w:pPr>
    <w:rPr>
      <w:rFonts w:eastAsia="Times New Roman"/>
      <w:lang w:val="en-AU"/>
    </w:rPr>
  </w:style>
  <w:style w:type="paragraph" w:styleId="BodyText2">
    <w:name w:val="Body Text 2"/>
    <w:basedOn w:val="Normal"/>
    <w:rsid w:val="002815EA"/>
    <w:pPr>
      <w:spacing w:before="120"/>
      <w:ind w:right="117"/>
      <w:jc w:val="both"/>
    </w:pPr>
    <w:rPr>
      <w:rFonts w:eastAsia="Times New Roman"/>
      <w:color w:val="000000"/>
      <w:lang w:val="en-AU"/>
    </w:rPr>
  </w:style>
  <w:style w:type="paragraph" w:styleId="BodyText3">
    <w:name w:val="Body Text 3"/>
    <w:basedOn w:val="Normal"/>
    <w:rsid w:val="002815EA"/>
    <w:pPr>
      <w:spacing w:before="120"/>
      <w:ind w:right="119"/>
      <w:jc w:val="both"/>
    </w:pPr>
    <w:rPr>
      <w:rFonts w:eastAsia="Times New Roman"/>
      <w:color w:val="000000"/>
      <w:lang w:val="en-AU"/>
    </w:rPr>
  </w:style>
  <w:style w:type="paragraph" w:styleId="BodyTextIndent">
    <w:name w:val="Body Text Indent"/>
    <w:basedOn w:val="Normal"/>
    <w:rsid w:val="002815EA"/>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styleId="ListParagraph">
    <w:name w:val="List Paragraph"/>
    <w:basedOn w:val="Normal"/>
    <w:uiPriority w:val="34"/>
    <w:qFormat/>
    <w:rsid w:val="0091703A"/>
    <w:pPr>
      <w:ind w:left="720"/>
      <w:contextualSpacing/>
    </w:pPr>
  </w:style>
  <w:style w:type="paragraph" w:styleId="Title">
    <w:name w:val="Title"/>
    <w:basedOn w:val="Normal"/>
    <w:next w:val="Normal"/>
    <w:link w:val="TitleChar"/>
    <w:qFormat/>
    <w:rsid w:val="00E72627"/>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72627"/>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dices@jse.co.za"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JSE\Stationery\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2012-06-11T22:00:00+00:00</JSE_x0020_Date>
    <JSEDate xmlns="4b9c4ad8-b913-4b33-a75f-8bb6922b9c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51AB5-F79D-45A3-A986-0E0149C6FA43}"/>
</file>

<file path=customXml/itemProps2.xml><?xml version="1.0" encoding="utf-8"?>
<ds:datastoreItem xmlns:ds="http://schemas.openxmlformats.org/officeDocument/2006/customXml" ds:itemID="{EBA38EA7-B2D6-4C98-8998-2F208A176FC8}"/>
</file>

<file path=customXml/itemProps3.xml><?xml version="1.0" encoding="utf-8"?>
<ds:datastoreItem xmlns:ds="http://schemas.openxmlformats.org/officeDocument/2006/customXml" ds:itemID="{8E875EAF-302A-41CF-A960-339253D9F58A}"/>
</file>

<file path=docProps/app.xml><?xml version="1.0" encoding="utf-8"?>
<Properties xmlns="http://schemas.openxmlformats.org/officeDocument/2006/extended-properties" xmlns:vt="http://schemas.openxmlformats.org/officeDocument/2006/docPropsVTypes">
  <Template>Memorandum</Template>
  <TotalTime>14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20120612 Notes from the June 2012 Advisory Committee docx</vt:lpstr>
    </vt:vector>
  </TitlesOfParts>
  <Company/>
  <LinksUpToDate>false</LinksUpToDate>
  <CharactersWithSpaces>3758</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20120612 Notes from the June 2012 Advisory Committee docx</dc:title>
  <dc:creator>KellyR</dc:creator>
  <cp:lastModifiedBy>user</cp:lastModifiedBy>
  <cp:revision>5</cp:revision>
  <cp:lastPrinted>2012-06-12T09:34:00Z</cp:lastPrinted>
  <dcterms:created xsi:type="dcterms:W3CDTF">2012-06-12T09:36:00Z</dcterms:created>
  <dcterms:modified xsi:type="dcterms:W3CDTF">2014-06-11T08:23:00Z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0x01010021666A28D95A8D478080F193ABC7911B</vt:lpwstr>
  </property>
  <property fmtid="{D5CDD505-2E9C-101B-9397-08002B2CF9AE}" pid="4" name="JSENavigation">
    <vt:lpwstr>29;#FTSE/JSE Africa Index Series|6e63f74e-2d9e-4e57-a177-02880866ab59</vt:lpwstr>
  </property>
  <property fmtid="{D5CDD505-2E9C-101B-9397-08002B2CF9AE}" pid="5" name="JSE Navigation">
    <vt:lpwstr>10;#FTSE/JSE Africa Index Series|9e8c22a4-c730-4f7b-9187-2994a0957a91</vt:lpwstr>
  </property>
</Properties>
</file>