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B62C2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B62C2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B62C2E" w:rsidTr="005835B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62C2E" w:rsidRDefault="005835B1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5835B1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54BC3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2C2E" w:rsidRDefault="005835B1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5835B1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54BC3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62C2E" w:rsidRDefault="00A54BC3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Optimum Coal Holdings (South Africa): Mandatory Offer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B62C2E" w:rsidRDefault="00A54BC3">
                  <w:pPr>
                    <w:pStyle w:val="ltpageheader"/>
                    <w:jc w:val="center"/>
                  </w:pPr>
                  <w:r>
                    <w:t>27 June 2012</w:t>
                  </w:r>
                </w:p>
              </w:tc>
            </w:tr>
            <w:tr w:rsidR="00B62C2E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62C2E" w:rsidRDefault="00B62C2E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B62C2E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62C2E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62C2E" w:rsidRDefault="00B62C2E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B62C2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62C2E" w:rsidRDefault="00A54BC3">
                  <w:pPr>
                    <w:pStyle w:val="NormalWeb"/>
                  </w:pPr>
                  <w:r>
                    <w:t xml:space="preserve">Following the completion of the mandatory offer by </w:t>
                  </w:r>
                  <w:proofErr w:type="spellStart"/>
                  <w:r>
                    <w:t>Glencore</w:t>
                  </w:r>
                  <w:proofErr w:type="spellEnd"/>
                  <w:r>
                    <w:t xml:space="preserve"> International (U.K., Constituent) and the </w:t>
                  </w:r>
                  <w:proofErr w:type="spellStart"/>
                  <w:r>
                    <w:t>Lexshell</w:t>
                  </w:r>
                  <w:proofErr w:type="spellEnd"/>
                  <w:r>
                    <w:t xml:space="preserve"> Consortium (South Africa, non-constituent) and the finalisation announcement in respect of the delisting of Optimum Coal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Mid Cap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J201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Optimum Coal Holdings (South Africa,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ZAE000144663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B3RDD25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 will be deleted from the index.</w:t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Holdings Ltd (South Africa,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ZAE000059564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, 6707286) will be added to the index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with a shares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 issue figure of 2,337,254,668 and an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investability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weighting of 30%.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Small Cap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J202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Kap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International Holdings Ltd (South Africa,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ZAE000059564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, 6707286)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J203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 JSE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RAFI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All Share Index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J263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FTSE JSE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RAFI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All Share Capped Index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J283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Capped All Share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J303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Shareholder Weighted All Share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J403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Style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J330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J331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All Share Shariah (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J143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Optimum Coal Holdings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02 July 2012</w:t>
                        </w:r>
                      </w:p>
                    </w:tc>
                  </w:tr>
                </w:tbl>
                <w:p w:rsidR="00B62C2E" w:rsidRDefault="00B62C2E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B62C2E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B62C2E" w:rsidRDefault="00B62C2E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2C2E" w:rsidRDefault="00A54BC3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proofErr w:type="spellStart"/>
                    <w:r>
                      <w:rPr>
                        <w:rStyle w:val="Hyperlink"/>
                      </w:rPr>
                      <w:t>info@ftse.com</w:t>
                    </w:r>
                    <w:proofErr w:type="spellEnd"/>
                  </w:hyperlink>
                  <w:r>
                    <w:t xml:space="preserve"> or </w:t>
                  </w:r>
                  <w:proofErr w:type="spellStart"/>
                  <w:r>
                    <w:t>indices@jse.co.za</w:t>
                  </w:r>
                  <w:proofErr w:type="spellEnd"/>
                  <w:r>
                    <w:t xml:space="preserve">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B62C2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B62C2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2C2E" w:rsidRDefault="00A54BC3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B62C2E" w:rsidRDefault="00A54BC3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proofErr w:type="spellStart"/>
                    <w:r>
                      <w:rPr>
                        <w:rStyle w:val="Hyperlink"/>
                      </w:rPr>
                      <w:t>www.ftse.com</w:t>
                    </w:r>
                    <w:proofErr w:type="spellEnd"/>
                    <w:r>
                      <w:rPr>
                        <w:rStyle w:val="Hyperlink"/>
                      </w:rPr>
                      <w:t xml:space="preserve"> </w:t>
                    </w:r>
                  </w:hyperlink>
                  <w:r>
                    <w:t xml:space="preserve">or </w:t>
                  </w:r>
                  <w:hyperlink r:id="rId8" w:tgtFrame="blank" w:history="1">
                    <w:proofErr w:type="spellStart"/>
                    <w:r>
                      <w:rPr>
                        <w:rStyle w:val="Hyperlink"/>
                      </w:rPr>
                      <w:t>www.ftsejse.co.za</w:t>
                    </w:r>
                    <w:proofErr w:type="spellEnd"/>
                  </w:hyperlink>
                </w:p>
              </w:tc>
            </w:tr>
            <w:tr w:rsidR="00B62C2E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B62C2E" w:rsidRDefault="00A54BC3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B62C2E" w:rsidRDefault="00B62C2E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B62C2E" w:rsidRDefault="00B62C2E">
      <w:pPr>
        <w:rPr>
          <w:rFonts w:eastAsia="Times New Roman"/>
        </w:rPr>
      </w:pPr>
    </w:p>
    <w:sectPr w:rsidR="00B62C2E" w:rsidSect="00B6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87786B"/>
    <w:rsid w:val="005835B1"/>
    <w:rsid w:val="0087786B"/>
    <w:rsid w:val="00A54BC3"/>
    <w:rsid w:val="00B6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2E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C2E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62C2E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62C2E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B62C2E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B62C2E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B62C2E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B62C2E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B62C2E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B62C2E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B62C2E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B62C2E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B62C2E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2012-07-01T22:00:00+00:00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403DF-6F0D-4062-93D9-5A20D1A8DA19}"/>
</file>

<file path=customXml/itemProps2.xml><?xml version="1.0" encoding="utf-8"?>
<ds:datastoreItem xmlns:ds="http://schemas.openxmlformats.org/officeDocument/2006/customXml" ds:itemID="{3E523781-5057-40CE-B239-3B703B226A42}"/>
</file>

<file path=customXml/itemProps3.xml><?xml version="1.0" encoding="utf-8"?>
<ds:datastoreItem xmlns:ds="http://schemas.openxmlformats.org/officeDocument/2006/customXml" ds:itemID="{208AFA88-A750-4E39-B1E8-9AADF62D9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2219</Characters>
  <Application>Microsoft Office Word</Application>
  <DocSecurity>0</DocSecurity>
  <Lines>18</Lines>
  <Paragraphs>5</Paragraphs>
  <ScaleCrop>false</ScaleCrop>
  <Company>FTSE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20120702 Optimum Coal Holdings Deletion docx</dc:title>
  <dc:subject/>
  <dc:creator>danielh</dc:creator>
  <cp:keywords/>
  <dc:description/>
  <cp:lastModifiedBy>KellyR</cp:lastModifiedBy>
  <cp:revision>2</cp:revision>
  <dcterms:created xsi:type="dcterms:W3CDTF">2012-06-27T15:01:00Z</dcterms:created>
  <dcterms:modified xsi:type="dcterms:W3CDTF">2012-06-27T15:01:00Z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