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A8" w:rsidRDefault="00BE07A8" w:rsidP="00BE07A8">
      <w:pPr>
        <w:spacing w:line="360" w:lineRule="auto"/>
        <w:ind w:left="426"/>
        <w:rPr>
          <w:b/>
          <w:szCs w:val="20"/>
        </w:rPr>
      </w:pPr>
      <w:r>
        <w:rPr>
          <w:b/>
          <w:szCs w:val="20"/>
        </w:rPr>
        <w:t>Section 13</w:t>
      </w:r>
    </w:p>
    <w:p w:rsidR="00BE07A8" w:rsidRDefault="00BE07A8" w:rsidP="00BE07A8">
      <w:pPr>
        <w:spacing w:line="360" w:lineRule="auto"/>
        <w:ind w:left="426"/>
        <w:rPr>
          <w:sz w:val="18"/>
          <w:szCs w:val="18"/>
        </w:rPr>
      </w:pPr>
    </w:p>
    <w:p w:rsidR="00BE07A8" w:rsidRDefault="00BE07A8" w:rsidP="00BE07A8">
      <w:pPr>
        <w:spacing w:line="360" w:lineRule="auto"/>
        <w:ind w:left="426"/>
        <w:rPr>
          <w:b/>
          <w:sz w:val="18"/>
          <w:szCs w:val="18"/>
        </w:rPr>
      </w:pPr>
      <w:r>
        <w:rPr>
          <w:b/>
          <w:sz w:val="18"/>
          <w:szCs w:val="18"/>
        </w:rPr>
        <w:t>Definitions</w:t>
      </w:r>
    </w:p>
    <w:p w:rsidR="00BE07A8" w:rsidRDefault="00BE07A8" w:rsidP="00BE07A8">
      <w:pPr>
        <w:spacing w:line="360" w:lineRule="auto"/>
        <w:ind w:left="426"/>
        <w:rPr>
          <w:sz w:val="18"/>
          <w:szCs w:val="18"/>
        </w:rPr>
      </w:pPr>
      <w:r>
        <w:rPr>
          <w:sz w:val="18"/>
          <w:szCs w:val="18"/>
        </w:rPr>
        <w:t>Existing definitions</w:t>
      </w:r>
    </w:p>
    <w:p w:rsidR="00BE07A8" w:rsidRDefault="00BE07A8" w:rsidP="00BE07A8">
      <w:pPr>
        <w:spacing w:line="360" w:lineRule="auto"/>
        <w:ind w:left="426"/>
        <w:rPr>
          <w:sz w:val="18"/>
          <w:szCs w:val="18"/>
        </w:rPr>
      </w:pPr>
      <w:r>
        <w:rPr>
          <w:sz w:val="18"/>
          <w:szCs w:val="18"/>
        </w:rPr>
        <w:t>In main LR</w:t>
      </w:r>
    </w:p>
    <w:p w:rsidR="00BE07A8" w:rsidRDefault="00BE07A8" w:rsidP="00BE07A8">
      <w:pPr>
        <w:spacing w:line="360" w:lineRule="auto"/>
        <w:ind w:left="426"/>
        <w:rPr>
          <w:sz w:val="18"/>
          <w:szCs w:val="18"/>
        </w:rPr>
      </w:pPr>
      <w:r>
        <w:rPr>
          <w:sz w:val="18"/>
          <w:szCs w:val="18"/>
        </w:rPr>
        <w:t>The Act, Applicant issuer, issuer, subsidiary, IFRS, group, Main Board</w:t>
      </w:r>
    </w:p>
    <w:p w:rsidR="00BE07A8" w:rsidRDefault="00BE07A8" w:rsidP="00BE07A8">
      <w:pPr>
        <w:spacing w:line="360" w:lineRule="auto"/>
        <w:ind w:left="426"/>
        <w:rPr>
          <w:sz w:val="18"/>
          <w:szCs w:val="18"/>
        </w:rPr>
      </w:pPr>
      <w:r>
        <w:rPr>
          <w:sz w:val="18"/>
          <w:szCs w:val="18"/>
        </w:rPr>
        <w:t>In section 13</w:t>
      </w:r>
    </w:p>
    <w:p w:rsidR="00BE07A8" w:rsidRDefault="00BE07A8" w:rsidP="00BE07A8">
      <w:pPr>
        <w:spacing w:line="360" w:lineRule="auto"/>
        <w:ind w:left="426"/>
        <w:rPr>
          <w:sz w:val="18"/>
          <w:szCs w:val="18"/>
        </w:rPr>
      </w:pPr>
      <w:r>
        <w:rPr>
          <w:sz w:val="18"/>
          <w:szCs w:val="18"/>
        </w:rPr>
        <w:t>-revenue, CSIP, property entity (but this will be amended)</w:t>
      </w:r>
    </w:p>
    <w:p w:rsidR="00BE07A8" w:rsidRDefault="00BE07A8" w:rsidP="00BE07A8">
      <w:pPr>
        <w:spacing w:line="360" w:lineRule="auto"/>
        <w:ind w:left="426"/>
        <w:rPr>
          <w:sz w:val="18"/>
          <w:szCs w:val="18"/>
        </w:rPr>
      </w:pPr>
    </w:p>
    <w:p w:rsidR="00BE07A8" w:rsidRDefault="00BE07A8" w:rsidP="00BE07A8">
      <w:pPr>
        <w:spacing w:line="360" w:lineRule="auto"/>
        <w:ind w:left="426"/>
        <w:rPr>
          <w:b/>
          <w:sz w:val="18"/>
          <w:szCs w:val="18"/>
        </w:rPr>
      </w:pPr>
      <w:r>
        <w:rPr>
          <w:b/>
          <w:sz w:val="18"/>
          <w:szCs w:val="18"/>
        </w:rPr>
        <w:t>Amended definitions</w:t>
      </w:r>
    </w:p>
    <w:p w:rsidR="00BE07A8" w:rsidRDefault="00BE07A8" w:rsidP="00BE07A8">
      <w:pPr>
        <w:spacing w:line="360" w:lineRule="auto"/>
        <w:ind w:left="426"/>
        <w:rPr>
          <w:sz w:val="18"/>
          <w:szCs w:val="18"/>
        </w:rPr>
      </w:pPr>
      <w:proofErr w:type="gramStart"/>
      <w:r>
        <w:rPr>
          <w:sz w:val="18"/>
          <w:szCs w:val="18"/>
        </w:rPr>
        <w:t>Paragraph (ii) of the existing definition of property entities which deals with “the purchase and resale of properties or purchase, development and resale of properties” to be deleted.</w:t>
      </w:r>
      <w:proofErr w:type="gramEnd"/>
      <w:r>
        <w:rPr>
          <w:sz w:val="18"/>
          <w:szCs w:val="18"/>
        </w:rPr>
        <w:t xml:space="preserve"> </w:t>
      </w:r>
    </w:p>
    <w:p w:rsidR="00BE07A8" w:rsidRDefault="00BE07A8" w:rsidP="00BE07A8">
      <w:pPr>
        <w:spacing w:line="360" w:lineRule="auto"/>
        <w:ind w:left="426"/>
        <w:rPr>
          <w:sz w:val="18"/>
          <w:szCs w:val="18"/>
        </w:rPr>
      </w:pPr>
    </w:p>
    <w:p w:rsidR="00BE07A8" w:rsidRDefault="00BE07A8" w:rsidP="00BE07A8">
      <w:pPr>
        <w:spacing w:line="360" w:lineRule="auto"/>
        <w:ind w:left="426"/>
        <w:rPr>
          <w:sz w:val="18"/>
          <w:szCs w:val="18"/>
        </w:rPr>
      </w:pPr>
      <w:r>
        <w:rPr>
          <w:sz w:val="18"/>
          <w:szCs w:val="18"/>
        </w:rPr>
        <w:t xml:space="preserve">This definition will now read </w:t>
      </w:r>
    </w:p>
    <w:p w:rsidR="00BE07A8" w:rsidRDefault="00BE07A8" w:rsidP="00BE07A8">
      <w:pPr>
        <w:pStyle w:val="Default"/>
        <w:spacing w:line="360" w:lineRule="auto"/>
        <w:ind w:left="1134" w:hanging="708"/>
        <w:rPr>
          <w:sz w:val="18"/>
          <w:szCs w:val="18"/>
        </w:rPr>
      </w:pPr>
      <w:r>
        <w:rPr>
          <w:sz w:val="18"/>
          <w:szCs w:val="18"/>
        </w:rPr>
        <w:t>(n) “</w:t>
      </w:r>
      <w:proofErr w:type="gramStart"/>
      <w:r>
        <w:rPr>
          <w:sz w:val="18"/>
          <w:szCs w:val="18"/>
        </w:rPr>
        <w:t>property</w:t>
      </w:r>
      <w:proofErr w:type="gramEnd"/>
      <w:r>
        <w:rPr>
          <w:sz w:val="18"/>
          <w:szCs w:val="18"/>
        </w:rPr>
        <w:t xml:space="preserve"> entity” is a company or CISIP who is primarily engaged, directly or indirectly, in property activities including: </w:t>
      </w:r>
    </w:p>
    <w:p w:rsidR="00BE07A8" w:rsidRDefault="00BE07A8" w:rsidP="00BE07A8">
      <w:pPr>
        <w:pStyle w:val="Default"/>
        <w:spacing w:line="360" w:lineRule="auto"/>
        <w:ind w:left="1134" w:hanging="414"/>
        <w:rPr>
          <w:sz w:val="18"/>
          <w:szCs w:val="18"/>
        </w:rPr>
      </w:pPr>
      <w:r>
        <w:rPr>
          <w:sz w:val="18"/>
          <w:szCs w:val="18"/>
        </w:rPr>
        <w:t>(</w:t>
      </w:r>
      <w:proofErr w:type="spellStart"/>
      <w:r>
        <w:rPr>
          <w:sz w:val="18"/>
          <w:szCs w:val="18"/>
        </w:rPr>
        <w:t>i</w:t>
      </w:r>
      <w:proofErr w:type="spellEnd"/>
      <w:r>
        <w:rPr>
          <w:sz w:val="18"/>
          <w:szCs w:val="18"/>
        </w:rPr>
        <w:t xml:space="preserve">) </w:t>
      </w:r>
      <w:proofErr w:type="gramStart"/>
      <w:r>
        <w:rPr>
          <w:sz w:val="18"/>
          <w:szCs w:val="18"/>
        </w:rPr>
        <w:t>the</w:t>
      </w:r>
      <w:proofErr w:type="gramEnd"/>
      <w:r>
        <w:rPr>
          <w:sz w:val="18"/>
          <w:szCs w:val="18"/>
        </w:rPr>
        <w:t xml:space="preserve"> holding of properties and development of properties for letting and retention as investments; or </w:t>
      </w:r>
    </w:p>
    <w:p w:rsidR="00BE07A8" w:rsidRDefault="00BE07A8" w:rsidP="00BE07A8">
      <w:pPr>
        <w:spacing w:line="360" w:lineRule="auto"/>
        <w:ind w:left="1134" w:hanging="414"/>
        <w:rPr>
          <w:sz w:val="18"/>
          <w:szCs w:val="18"/>
        </w:rPr>
      </w:pPr>
      <w:r>
        <w:rPr>
          <w:sz w:val="18"/>
          <w:szCs w:val="18"/>
        </w:rPr>
        <w:t xml:space="preserve">(ii) </w:t>
      </w:r>
      <w:proofErr w:type="gramStart"/>
      <w:r>
        <w:rPr>
          <w:sz w:val="18"/>
          <w:szCs w:val="18"/>
        </w:rPr>
        <w:t>the</w:t>
      </w:r>
      <w:proofErr w:type="gramEnd"/>
      <w:r>
        <w:rPr>
          <w:sz w:val="18"/>
          <w:szCs w:val="18"/>
        </w:rPr>
        <w:t xml:space="preserve"> purchase of land for development of properties for retention as investments;</w:t>
      </w:r>
    </w:p>
    <w:p w:rsidR="00BE07A8" w:rsidRDefault="00BE07A8" w:rsidP="00BE07A8">
      <w:pPr>
        <w:spacing w:line="360" w:lineRule="auto"/>
        <w:ind w:left="426"/>
        <w:rPr>
          <w:sz w:val="18"/>
          <w:szCs w:val="18"/>
        </w:rPr>
      </w:pPr>
    </w:p>
    <w:p w:rsidR="00BE07A8" w:rsidRDefault="00BE07A8" w:rsidP="00BE07A8">
      <w:pPr>
        <w:spacing w:line="360" w:lineRule="auto"/>
        <w:ind w:left="426"/>
        <w:rPr>
          <w:sz w:val="18"/>
          <w:szCs w:val="18"/>
        </w:rPr>
      </w:pPr>
      <w:r>
        <w:rPr>
          <w:b/>
          <w:sz w:val="18"/>
          <w:szCs w:val="18"/>
        </w:rPr>
        <w:t>Additional definitions</w:t>
      </w:r>
      <w:r>
        <w:rPr>
          <w:sz w:val="18"/>
          <w:szCs w:val="18"/>
        </w:rPr>
        <w:t xml:space="preserve"> to be added to 13.1 (which will need to be renumbered) </w:t>
      </w:r>
    </w:p>
    <w:p w:rsidR="00BE07A8" w:rsidRDefault="00BE07A8" w:rsidP="00BE07A8">
      <w:pPr>
        <w:spacing w:line="360" w:lineRule="auto"/>
        <w:ind w:left="426"/>
        <w:rPr>
          <w:sz w:val="18"/>
          <w:szCs w:val="18"/>
        </w:rPr>
      </w:pPr>
    </w:p>
    <w:p w:rsidR="00BE07A8" w:rsidRDefault="00BE07A8" w:rsidP="00BE07A8">
      <w:pPr>
        <w:spacing w:line="360" w:lineRule="auto"/>
        <w:ind w:left="426"/>
        <w:rPr>
          <w:sz w:val="18"/>
          <w:szCs w:val="18"/>
        </w:rPr>
      </w:pPr>
      <w:r>
        <w:rPr>
          <w:sz w:val="18"/>
          <w:szCs w:val="18"/>
        </w:rPr>
        <w:t>“</w:t>
      </w:r>
      <w:r>
        <w:rPr>
          <w:sz w:val="18"/>
          <w:szCs w:val="18"/>
          <w:u w:val="single"/>
        </w:rPr>
        <w:t>failed the REIT tax test</w:t>
      </w:r>
      <w:r>
        <w:rPr>
          <w:sz w:val="18"/>
          <w:szCs w:val="18"/>
        </w:rPr>
        <w:t>“ means that the issuer was granted REIT status by the JSE, but on assessment by the South African Revenue Services did not qualify for a tax deduction of distributions  under section 25BB(2) of the Tax Act ;</w:t>
      </w:r>
    </w:p>
    <w:p w:rsidR="00BE07A8" w:rsidRDefault="00BE07A8" w:rsidP="00BE07A8">
      <w:pPr>
        <w:spacing w:line="360" w:lineRule="auto"/>
        <w:ind w:left="426"/>
        <w:rPr>
          <w:sz w:val="18"/>
          <w:szCs w:val="18"/>
        </w:rPr>
      </w:pPr>
      <w:r>
        <w:rPr>
          <w:sz w:val="18"/>
          <w:szCs w:val="18"/>
        </w:rPr>
        <w:t>“</w:t>
      </w:r>
      <w:r>
        <w:rPr>
          <w:sz w:val="18"/>
          <w:szCs w:val="18"/>
          <w:u w:val="single"/>
          <w:lang w:val="en-US"/>
        </w:rPr>
        <w:t>GAV</w:t>
      </w:r>
      <w:r>
        <w:rPr>
          <w:sz w:val="18"/>
          <w:szCs w:val="18"/>
          <w:lang w:val="en-US"/>
        </w:rPr>
        <w:t xml:space="preserve">” is the consolidated gross asset value </w:t>
      </w:r>
      <w:r>
        <w:rPr>
          <w:sz w:val="18"/>
          <w:szCs w:val="18"/>
        </w:rPr>
        <w:t>as reflected in the applicant issuers latest published results which are prepared in terms of IFRS;</w:t>
      </w:r>
    </w:p>
    <w:p w:rsidR="00BE07A8" w:rsidRDefault="00BE07A8" w:rsidP="00BE07A8">
      <w:pPr>
        <w:spacing w:line="360" w:lineRule="auto"/>
        <w:ind w:left="426"/>
        <w:rPr>
          <w:sz w:val="18"/>
          <w:szCs w:val="18"/>
        </w:rPr>
      </w:pPr>
      <w:r>
        <w:rPr>
          <w:sz w:val="18"/>
          <w:szCs w:val="18"/>
        </w:rPr>
        <w:t>“</w:t>
      </w:r>
      <w:r>
        <w:rPr>
          <w:sz w:val="18"/>
          <w:szCs w:val="18"/>
          <w:u w:val="single"/>
        </w:rPr>
        <w:t>Nominal value of the debt</w:t>
      </w:r>
      <w:r>
        <w:rPr>
          <w:sz w:val="18"/>
          <w:szCs w:val="18"/>
        </w:rPr>
        <w:t>” means the original amount borrowed from a lender, less any capital repayments that have been made on those specific borrowings, where debt includes derivative liabilities;</w:t>
      </w:r>
    </w:p>
    <w:p w:rsidR="00BE07A8" w:rsidRDefault="00BE07A8" w:rsidP="00BE07A8">
      <w:pPr>
        <w:spacing w:line="360" w:lineRule="auto"/>
        <w:ind w:left="426"/>
        <w:rPr>
          <w:sz w:val="18"/>
          <w:szCs w:val="18"/>
        </w:rPr>
      </w:pPr>
      <w:r>
        <w:rPr>
          <w:sz w:val="18"/>
          <w:szCs w:val="18"/>
        </w:rPr>
        <w:t>“</w:t>
      </w:r>
      <w:r>
        <w:rPr>
          <w:sz w:val="18"/>
          <w:szCs w:val="18"/>
          <w:u w:val="single"/>
        </w:rPr>
        <w:t>Tax Act</w:t>
      </w:r>
      <w:r>
        <w:rPr>
          <w:sz w:val="18"/>
          <w:szCs w:val="18"/>
        </w:rPr>
        <w:t>” means the South African Income Tax Act, 1962, Act 58 of 1962, as amended form time to time;</w:t>
      </w:r>
    </w:p>
    <w:p w:rsidR="00BE07A8" w:rsidRDefault="00BE07A8" w:rsidP="00BE07A8">
      <w:pPr>
        <w:spacing w:line="360" w:lineRule="auto"/>
        <w:ind w:left="426"/>
        <w:rPr>
          <w:sz w:val="18"/>
          <w:szCs w:val="18"/>
          <w:lang w:val="en-US"/>
        </w:rPr>
      </w:pPr>
      <w:r>
        <w:rPr>
          <w:sz w:val="18"/>
          <w:szCs w:val="18"/>
          <w:lang w:val="en-US"/>
        </w:rPr>
        <w:t>“</w:t>
      </w:r>
      <w:r>
        <w:rPr>
          <w:sz w:val="18"/>
          <w:szCs w:val="18"/>
          <w:u w:val="single"/>
          <w:lang w:val="en-US"/>
        </w:rPr>
        <w:t>Rental revenue</w:t>
      </w:r>
      <w:r>
        <w:rPr>
          <w:sz w:val="18"/>
          <w:szCs w:val="18"/>
          <w:lang w:val="en-US"/>
        </w:rPr>
        <w:t xml:space="preserve">” means revenue that is derived from the </w:t>
      </w:r>
      <w:r>
        <w:rPr>
          <w:sz w:val="18"/>
          <w:szCs w:val="18"/>
        </w:rPr>
        <w:t xml:space="preserve">owning or leasing </w:t>
      </w:r>
      <w:r>
        <w:rPr>
          <w:sz w:val="18"/>
          <w:szCs w:val="18"/>
          <w:lang w:val="en-US"/>
        </w:rPr>
        <w:t>of immovable property which is let or sub-let to tenants;</w:t>
      </w:r>
    </w:p>
    <w:p w:rsidR="00BE07A8" w:rsidRDefault="00BE07A8" w:rsidP="00BE07A8">
      <w:pPr>
        <w:spacing w:line="360" w:lineRule="auto"/>
        <w:ind w:left="426"/>
        <w:rPr>
          <w:sz w:val="18"/>
          <w:szCs w:val="18"/>
        </w:rPr>
      </w:pPr>
      <w:r>
        <w:rPr>
          <w:sz w:val="18"/>
          <w:szCs w:val="18"/>
        </w:rPr>
        <w:t>“</w:t>
      </w:r>
      <w:r>
        <w:rPr>
          <w:sz w:val="18"/>
          <w:szCs w:val="18"/>
          <w:u w:val="single"/>
        </w:rPr>
        <w:t>REIT</w:t>
      </w:r>
      <w:r>
        <w:rPr>
          <w:sz w:val="18"/>
          <w:szCs w:val="18"/>
        </w:rPr>
        <w:t xml:space="preserve">” means Real Estate Investment Trust and is defined as an applicant issuer who receives a REIT status in terms of the Listings Requirements. </w:t>
      </w:r>
    </w:p>
    <w:p w:rsidR="00BE07A8" w:rsidRDefault="00BE07A8" w:rsidP="00BE07A8">
      <w:pPr>
        <w:spacing w:line="360" w:lineRule="auto"/>
        <w:ind w:left="426"/>
        <w:rPr>
          <w:sz w:val="18"/>
          <w:szCs w:val="18"/>
        </w:rPr>
      </w:pPr>
    </w:p>
    <w:p w:rsidR="00BE07A8" w:rsidRDefault="00BE07A8" w:rsidP="00BE07A8">
      <w:pPr>
        <w:spacing w:line="360" w:lineRule="auto"/>
        <w:ind w:left="426"/>
        <w:rPr>
          <w:b/>
          <w:sz w:val="18"/>
          <w:szCs w:val="18"/>
        </w:rPr>
      </w:pPr>
      <w:r>
        <w:rPr>
          <w:b/>
          <w:sz w:val="18"/>
          <w:szCs w:val="18"/>
        </w:rPr>
        <w:t>Other consequential changes</w:t>
      </w:r>
    </w:p>
    <w:p w:rsidR="00BE07A8" w:rsidRDefault="00BE07A8" w:rsidP="00BE07A8">
      <w:pPr>
        <w:spacing w:line="360" w:lineRule="auto"/>
        <w:ind w:left="426"/>
        <w:rPr>
          <w:sz w:val="18"/>
          <w:szCs w:val="18"/>
        </w:rPr>
      </w:pPr>
      <w:r>
        <w:rPr>
          <w:sz w:val="18"/>
          <w:szCs w:val="18"/>
        </w:rPr>
        <w:t xml:space="preserve">13.20 A valuation report prepared by an independent registered </w:t>
      </w:r>
      <w:proofErr w:type="spellStart"/>
      <w:r>
        <w:rPr>
          <w:sz w:val="18"/>
          <w:szCs w:val="18"/>
        </w:rPr>
        <w:t>valuer</w:t>
      </w:r>
      <w:proofErr w:type="spellEnd"/>
      <w:r>
        <w:rPr>
          <w:sz w:val="18"/>
          <w:szCs w:val="18"/>
        </w:rPr>
        <w:t xml:space="preserve"> must be obtained by:</w:t>
      </w:r>
    </w:p>
    <w:p w:rsidR="00BE07A8" w:rsidRDefault="00BE07A8" w:rsidP="00BE07A8">
      <w:pPr>
        <w:spacing w:line="360" w:lineRule="auto"/>
        <w:ind w:left="426"/>
        <w:rPr>
          <w:sz w:val="18"/>
          <w:szCs w:val="18"/>
        </w:rPr>
      </w:pPr>
      <w:r>
        <w:rPr>
          <w:sz w:val="18"/>
          <w:szCs w:val="18"/>
        </w:rPr>
        <w:t xml:space="preserve">(e) </w:t>
      </w:r>
      <w:proofErr w:type="gramStart"/>
      <w:r>
        <w:rPr>
          <w:sz w:val="18"/>
          <w:szCs w:val="18"/>
        </w:rPr>
        <w:t>any</w:t>
      </w:r>
      <w:proofErr w:type="gramEnd"/>
      <w:r>
        <w:rPr>
          <w:sz w:val="18"/>
          <w:szCs w:val="18"/>
        </w:rPr>
        <w:t xml:space="preserve"> other new applicant issuer with a substantial property asset </w:t>
      </w:r>
    </w:p>
    <w:p w:rsidR="00BE07A8" w:rsidRDefault="00BE07A8" w:rsidP="00BE07A8">
      <w:pPr>
        <w:spacing w:line="360" w:lineRule="auto"/>
        <w:ind w:left="426"/>
        <w:rPr>
          <w:sz w:val="18"/>
          <w:szCs w:val="18"/>
        </w:rPr>
      </w:pPr>
    </w:p>
    <w:p w:rsidR="00BE07A8" w:rsidRDefault="00BE07A8" w:rsidP="00BE07A8">
      <w:pPr>
        <w:spacing w:line="360" w:lineRule="auto"/>
        <w:ind w:left="426"/>
        <w:rPr>
          <w:sz w:val="18"/>
          <w:szCs w:val="18"/>
        </w:rPr>
      </w:pPr>
      <w:r>
        <w:rPr>
          <w:sz w:val="18"/>
          <w:szCs w:val="18"/>
        </w:rPr>
        <w:t xml:space="preserve">Where </w:t>
      </w:r>
    </w:p>
    <w:p w:rsidR="00BE07A8" w:rsidRDefault="00BE07A8" w:rsidP="00BE07A8">
      <w:pPr>
        <w:spacing w:line="360" w:lineRule="auto"/>
        <w:ind w:left="426"/>
        <w:rPr>
          <w:sz w:val="18"/>
          <w:szCs w:val="18"/>
        </w:rPr>
      </w:pPr>
      <w:r>
        <w:rPr>
          <w:sz w:val="18"/>
          <w:szCs w:val="18"/>
          <w:u w:val="single"/>
        </w:rPr>
        <w:t>Substantial property asset</w:t>
      </w:r>
      <w:r>
        <w:rPr>
          <w:sz w:val="18"/>
          <w:szCs w:val="18"/>
        </w:rPr>
        <w:t xml:space="preserve"> means property assets of a non property entity which represent, or will represent 25% or more of the total assets or generate 25% or more of the revenue or profits of that entity </w:t>
      </w:r>
    </w:p>
    <w:p w:rsidR="00BE07A8" w:rsidRDefault="00BE07A8" w:rsidP="00BE07A8">
      <w:pPr>
        <w:spacing w:after="200" w:line="276" w:lineRule="auto"/>
        <w:rPr>
          <w:b/>
          <w:sz w:val="18"/>
          <w:szCs w:val="18"/>
        </w:rPr>
      </w:pPr>
      <w:r>
        <w:rPr>
          <w:b/>
          <w:sz w:val="18"/>
          <w:szCs w:val="18"/>
        </w:rPr>
        <w:br w:type="page"/>
      </w:r>
    </w:p>
    <w:p w:rsidR="00BE07A8" w:rsidRDefault="00BE07A8" w:rsidP="00BE07A8">
      <w:pPr>
        <w:spacing w:line="360" w:lineRule="auto"/>
        <w:ind w:left="426"/>
        <w:rPr>
          <w:b/>
          <w:szCs w:val="20"/>
        </w:rPr>
      </w:pPr>
      <w:r>
        <w:rPr>
          <w:b/>
          <w:szCs w:val="20"/>
        </w:rPr>
        <w:t>REIT</w:t>
      </w:r>
    </w:p>
    <w:p w:rsidR="00BE07A8" w:rsidRDefault="00BE07A8" w:rsidP="00BE07A8">
      <w:pPr>
        <w:spacing w:line="360" w:lineRule="auto"/>
        <w:ind w:left="426"/>
        <w:rPr>
          <w:sz w:val="18"/>
          <w:szCs w:val="18"/>
        </w:rPr>
      </w:pPr>
    </w:p>
    <w:p w:rsidR="00BE07A8" w:rsidRDefault="00BE07A8" w:rsidP="00BE07A8">
      <w:pPr>
        <w:spacing w:line="360" w:lineRule="auto"/>
        <w:ind w:left="426"/>
        <w:rPr>
          <w:b/>
          <w:sz w:val="18"/>
          <w:szCs w:val="18"/>
        </w:rPr>
      </w:pPr>
      <w:r>
        <w:rPr>
          <w:b/>
          <w:sz w:val="18"/>
          <w:szCs w:val="18"/>
        </w:rPr>
        <w:t>REIT listing criteria</w:t>
      </w:r>
    </w:p>
    <w:p w:rsidR="00BE07A8" w:rsidRDefault="00BE07A8" w:rsidP="00BE07A8">
      <w:pPr>
        <w:spacing w:line="360" w:lineRule="auto"/>
        <w:ind w:left="426"/>
        <w:rPr>
          <w:sz w:val="18"/>
          <w:szCs w:val="18"/>
        </w:rPr>
      </w:pPr>
      <w:r>
        <w:rPr>
          <w:sz w:val="18"/>
          <w:szCs w:val="18"/>
        </w:rPr>
        <w:t>13.46</w:t>
      </w:r>
      <w:r>
        <w:rPr>
          <w:sz w:val="18"/>
          <w:szCs w:val="18"/>
        </w:rPr>
        <w:tab/>
        <w:t xml:space="preserve"> An </w:t>
      </w:r>
      <w:r>
        <w:rPr>
          <w:sz w:val="18"/>
          <w:szCs w:val="18"/>
          <w:u w:val="single"/>
        </w:rPr>
        <w:t>applicant issuer</w:t>
      </w:r>
      <w:r>
        <w:rPr>
          <w:sz w:val="18"/>
          <w:szCs w:val="18"/>
        </w:rPr>
        <w:t xml:space="preserve"> seeking to receive a REIT status from the JSE must satisfy the following criteria:</w:t>
      </w:r>
    </w:p>
    <w:p w:rsidR="00BE07A8" w:rsidRDefault="00BE07A8" w:rsidP="00BE07A8">
      <w:pPr>
        <w:spacing w:line="360" w:lineRule="auto"/>
        <w:ind w:left="1134" w:hanging="283"/>
        <w:rPr>
          <w:sz w:val="18"/>
          <w:szCs w:val="18"/>
        </w:rPr>
      </w:pPr>
      <w:r>
        <w:rPr>
          <w:sz w:val="18"/>
          <w:szCs w:val="18"/>
        </w:rPr>
        <w:t xml:space="preserve">(a) </w:t>
      </w:r>
      <w:proofErr w:type="gramStart"/>
      <w:r>
        <w:rPr>
          <w:sz w:val="18"/>
          <w:szCs w:val="18"/>
        </w:rPr>
        <w:t>the</w:t>
      </w:r>
      <w:proofErr w:type="gramEnd"/>
      <w:r>
        <w:rPr>
          <w:sz w:val="18"/>
          <w:szCs w:val="18"/>
        </w:rPr>
        <w:t xml:space="preserve"> MOI of the applicant issuer must contain the provisions set out in paragraph 13.47 and must be approved by the JSE;</w:t>
      </w:r>
    </w:p>
    <w:p w:rsidR="00BE07A8" w:rsidRDefault="00BE07A8" w:rsidP="00BE07A8">
      <w:pPr>
        <w:spacing w:line="360" w:lineRule="auto"/>
        <w:ind w:left="1134" w:hanging="283"/>
        <w:rPr>
          <w:sz w:val="18"/>
          <w:szCs w:val="18"/>
        </w:rPr>
      </w:pPr>
      <w:r>
        <w:rPr>
          <w:sz w:val="18"/>
          <w:szCs w:val="18"/>
        </w:rPr>
        <w:t xml:space="preserve">(b) </w:t>
      </w:r>
      <w:proofErr w:type="gramStart"/>
      <w:r>
        <w:rPr>
          <w:sz w:val="18"/>
          <w:szCs w:val="18"/>
        </w:rPr>
        <w:t>the</w:t>
      </w:r>
      <w:proofErr w:type="gramEnd"/>
      <w:r>
        <w:rPr>
          <w:sz w:val="18"/>
          <w:szCs w:val="18"/>
        </w:rPr>
        <w:t xml:space="preserve"> applicant issuer must have gross assets of at least R300 000 </w:t>
      </w:r>
      <w:proofErr w:type="spellStart"/>
      <w:r>
        <w:rPr>
          <w:sz w:val="18"/>
          <w:szCs w:val="18"/>
        </w:rPr>
        <w:t>000</w:t>
      </w:r>
      <w:proofErr w:type="spellEnd"/>
      <w:r>
        <w:rPr>
          <w:sz w:val="18"/>
          <w:szCs w:val="18"/>
        </w:rPr>
        <w:t>, as reflected in either:</w:t>
      </w:r>
    </w:p>
    <w:p w:rsidR="00BE07A8" w:rsidRDefault="00BE07A8" w:rsidP="00BE07A8">
      <w:pPr>
        <w:spacing w:line="360" w:lineRule="auto"/>
        <w:ind w:left="1418" w:hanging="283"/>
        <w:rPr>
          <w:sz w:val="18"/>
          <w:szCs w:val="18"/>
        </w:rPr>
      </w:pPr>
      <w:r>
        <w:rPr>
          <w:sz w:val="18"/>
          <w:szCs w:val="18"/>
        </w:rPr>
        <w:t>(</w:t>
      </w:r>
      <w:proofErr w:type="spellStart"/>
      <w:r>
        <w:rPr>
          <w:sz w:val="18"/>
          <w:szCs w:val="18"/>
        </w:rPr>
        <w:t>i</w:t>
      </w:r>
      <w:proofErr w:type="spellEnd"/>
      <w:r>
        <w:rPr>
          <w:sz w:val="18"/>
          <w:szCs w:val="18"/>
        </w:rPr>
        <w:t xml:space="preserve">) </w:t>
      </w:r>
      <w:proofErr w:type="gramStart"/>
      <w:r>
        <w:rPr>
          <w:sz w:val="18"/>
          <w:szCs w:val="18"/>
        </w:rPr>
        <w:t>its</w:t>
      </w:r>
      <w:proofErr w:type="gramEnd"/>
      <w:r>
        <w:rPr>
          <w:sz w:val="18"/>
          <w:szCs w:val="18"/>
        </w:rPr>
        <w:t xml:space="preserve"> audited or reviewed consolidated financial statements; or</w:t>
      </w:r>
    </w:p>
    <w:p w:rsidR="00BE07A8" w:rsidRDefault="00BE07A8" w:rsidP="00BE07A8">
      <w:pPr>
        <w:spacing w:line="360" w:lineRule="auto"/>
        <w:ind w:left="1418" w:hanging="283"/>
        <w:rPr>
          <w:sz w:val="18"/>
          <w:szCs w:val="18"/>
        </w:rPr>
      </w:pPr>
      <w:r>
        <w:rPr>
          <w:sz w:val="18"/>
          <w:szCs w:val="18"/>
        </w:rPr>
        <w:t xml:space="preserve">(ii) </w:t>
      </w:r>
      <w:proofErr w:type="gramStart"/>
      <w:r>
        <w:rPr>
          <w:sz w:val="18"/>
          <w:szCs w:val="18"/>
        </w:rPr>
        <w:t>a</w:t>
      </w:r>
      <w:proofErr w:type="gramEnd"/>
      <w:r>
        <w:rPr>
          <w:sz w:val="18"/>
          <w:szCs w:val="18"/>
        </w:rPr>
        <w:t xml:space="preserve"> pro forma consolidated balance sheet compiled in terms of paragraph 13.16 ;</w:t>
      </w:r>
    </w:p>
    <w:p w:rsidR="00BE07A8" w:rsidRDefault="00BE07A8" w:rsidP="00BE07A8">
      <w:pPr>
        <w:spacing w:line="360" w:lineRule="auto"/>
        <w:ind w:left="1418" w:hanging="283"/>
        <w:rPr>
          <w:sz w:val="18"/>
          <w:szCs w:val="18"/>
        </w:rPr>
      </w:pPr>
      <w:proofErr w:type="gramStart"/>
      <w:r>
        <w:rPr>
          <w:sz w:val="18"/>
          <w:szCs w:val="18"/>
        </w:rPr>
        <w:t>whichever</w:t>
      </w:r>
      <w:proofErr w:type="gramEnd"/>
      <w:r>
        <w:rPr>
          <w:sz w:val="18"/>
          <w:szCs w:val="18"/>
        </w:rPr>
        <w:t xml:space="preserve"> reflects the more recent financial position;</w:t>
      </w:r>
    </w:p>
    <w:p w:rsidR="00BE07A8" w:rsidRDefault="00BE07A8" w:rsidP="00BE07A8">
      <w:pPr>
        <w:spacing w:line="360" w:lineRule="auto"/>
        <w:ind w:left="1134" w:hanging="283"/>
        <w:rPr>
          <w:sz w:val="18"/>
          <w:szCs w:val="18"/>
        </w:rPr>
      </w:pPr>
      <w:r>
        <w:rPr>
          <w:sz w:val="18"/>
          <w:szCs w:val="18"/>
        </w:rPr>
        <w:t xml:space="preserve">(c) </w:t>
      </w:r>
      <w:proofErr w:type="gramStart"/>
      <w:r>
        <w:rPr>
          <w:sz w:val="18"/>
          <w:szCs w:val="18"/>
        </w:rPr>
        <w:t>the</w:t>
      </w:r>
      <w:proofErr w:type="gramEnd"/>
      <w:r>
        <w:rPr>
          <w:sz w:val="18"/>
          <w:szCs w:val="18"/>
        </w:rPr>
        <w:t xml:space="preserve"> applicant issuer must be a </w:t>
      </w:r>
      <w:r>
        <w:rPr>
          <w:sz w:val="18"/>
          <w:szCs w:val="18"/>
          <w:u w:val="single"/>
        </w:rPr>
        <w:t>property entity</w:t>
      </w:r>
      <w:r>
        <w:rPr>
          <w:sz w:val="18"/>
          <w:szCs w:val="18"/>
        </w:rPr>
        <w:t xml:space="preserve"> ;</w:t>
      </w:r>
    </w:p>
    <w:p w:rsidR="00BE07A8" w:rsidRDefault="00BE07A8" w:rsidP="00BE07A8">
      <w:pPr>
        <w:spacing w:line="360" w:lineRule="auto"/>
        <w:ind w:left="1134" w:hanging="283"/>
        <w:rPr>
          <w:sz w:val="18"/>
          <w:szCs w:val="18"/>
        </w:rPr>
      </w:pPr>
      <w:r>
        <w:rPr>
          <w:sz w:val="18"/>
          <w:szCs w:val="18"/>
        </w:rPr>
        <w:t xml:space="preserve">(d) </w:t>
      </w:r>
      <w:proofErr w:type="gramStart"/>
      <w:r>
        <w:rPr>
          <w:sz w:val="18"/>
          <w:szCs w:val="18"/>
        </w:rPr>
        <w:t>at</w:t>
      </w:r>
      <w:proofErr w:type="gramEnd"/>
      <w:r>
        <w:rPr>
          <w:sz w:val="18"/>
          <w:szCs w:val="18"/>
        </w:rPr>
        <w:t xml:space="preserve"> least 75 % of the </w:t>
      </w:r>
      <w:r>
        <w:rPr>
          <w:sz w:val="18"/>
          <w:szCs w:val="18"/>
          <w:u w:val="single"/>
        </w:rPr>
        <w:t>revenue</w:t>
      </w:r>
      <w:r>
        <w:rPr>
          <w:sz w:val="18"/>
          <w:szCs w:val="18"/>
        </w:rPr>
        <w:t xml:space="preserve"> as reflected in the statement of comprehensive income of the applicant issuer’s group must be derived from </w:t>
      </w:r>
      <w:r>
        <w:rPr>
          <w:sz w:val="18"/>
          <w:szCs w:val="18"/>
          <w:u w:val="single"/>
        </w:rPr>
        <w:t>rental revenue;</w:t>
      </w:r>
      <w:r>
        <w:rPr>
          <w:sz w:val="18"/>
          <w:szCs w:val="18"/>
        </w:rPr>
        <w:t xml:space="preserve"> </w:t>
      </w:r>
    </w:p>
    <w:p w:rsidR="00BE07A8" w:rsidRDefault="00BE07A8" w:rsidP="00BE07A8">
      <w:pPr>
        <w:spacing w:line="360" w:lineRule="auto"/>
        <w:ind w:left="1134" w:hanging="283"/>
        <w:rPr>
          <w:sz w:val="18"/>
          <w:szCs w:val="18"/>
        </w:rPr>
      </w:pPr>
      <w:r>
        <w:rPr>
          <w:sz w:val="18"/>
          <w:szCs w:val="18"/>
        </w:rPr>
        <w:t xml:space="preserve">(e) </w:t>
      </w:r>
      <w:proofErr w:type="gramStart"/>
      <w:r>
        <w:rPr>
          <w:sz w:val="18"/>
          <w:szCs w:val="18"/>
        </w:rPr>
        <w:t>the</w:t>
      </w:r>
      <w:proofErr w:type="gramEnd"/>
      <w:r>
        <w:rPr>
          <w:sz w:val="18"/>
          <w:szCs w:val="18"/>
        </w:rPr>
        <w:t xml:space="preserve"> applicant issuer must qualify for a listing in terms of paragraphs 4.28 or 21.3 read together with paragraph 13.3;</w:t>
      </w:r>
    </w:p>
    <w:p w:rsidR="00BE07A8" w:rsidRDefault="00BE07A8" w:rsidP="00BE07A8">
      <w:pPr>
        <w:spacing w:line="360" w:lineRule="auto"/>
        <w:ind w:left="1134" w:hanging="283"/>
        <w:rPr>
          <w:sz w:val="18"/>
          <w:szCs w:val="18"/>
        </w:rPr>
      </w:pPr>
      <w:r>
        <w:rPr>
          <w:sz w:val="18"/>
          <w:szCs w:val="18"/>
        </w:rPr>
        <w:t xml:space="preserve">(f) </w:t>
      </w:r>
      <w:proofErr w:type="gramStart"/>
      <w:r>
        <w:rPr>
          <w:sz w:val="18"/>
          <w:szCs w:val="18"/>
        </w:rPr>
        <w:t>the</w:t>
      </w:r>
      <w:proofErr w:type="gramEnd"/>
      <w:r>
        <w:rPr>
          <w:sz w:val="18"/>
          <w:szCs w:val="18"/>
        </w:rPr>
        <w:t xml:space="preserve"> directors must confirm that the applicant issuer will, to the best of their knowledge (after making all reasonable enquiries to ascertain such facts), qualify for a tax deduction of distributions under section 25BB(2) of the Tax Act for the current or future financial year end ; </w:t>
      </w:r>
    </w:p>
    <w:p w:rsidR="00BE07A8" w:rsidRDefault="00BE07A8" w:rsidP="00BE07A8">
      <w:pPr>
        <w:spacing w:line="360" w:lineRule="auto"/>
        <w:ind w:left="1134" w:hanging="283"/>
        <w:rPr>
          <w:sz w:val="18"/>
          <w:szCs w:val="18"/>
        </w:rPr>
      </w:pPr>
      <w:r>
        <w:rPr>
          <w:sz w:val="18"/>
          <w:szCs w:val="18"/>
        </w:rPr>
        <w:t xml:space="preserve">(g) </w:t>
      </w:r>
      <w:proofErr w:type="gramStart"/>
      <w:r>
        <w:rPr>
          <w:sz w:val="18"/>
          <w:szCs w:val="18"/>
        </w:rPr>
        <w:t>the</w:t>
      </w:r>
      <w:proofErr w:type="gramEnd"/>
      <w:r>
        <w:rPr>
          <w:sz w:val="18"/>
          <w:szCs w:val="18"/>
        </w:rPr>
        <w:t xml:space="preserve"> directors of the applicant issuer must :</w:t>
      </w:r>
    </w:p>
    <w:p w:rsidR="00BE07A8" w:rsidRDefault="00BE07A8" w:rsidP="00BE07A8">
      <w:pPr>
        <w:spacing w:line="360" w:lineRule="auto"/>
        <w:ind w:left="1701" w:hanging="283"/>
        <w:rPr>
          <w:sz w:val="18"/>
          <w:szCs w:val="18"/>
        </w:rPr>
      </w:pPr>
      <w:r>
        <w:rPr>
          <w:sz w:val="18"/>
          <w:szCs w:val="18"/>
        </w:rPr>
        <w:t>(</w:t>
      </w:r>
      <w:proofErr w:type="spellStart"/>
      <w:r>
        <w:rPr>
          <w:sz w:val="18"/>
          <w:szCs w:val="18"/>
        </w:rPr>
        <w:t>i</w:t>
      </w:r>
      <w:proofErr w:type="spellEnd"/>
      <w:r>
        <w:rPr>
          <w:sz w:val="18"/>
          <w:szCs w:val="18"/>
        </w:rPr>
        <w:t xml:space="preserve">) </w:t>
      </w:r>
      <w:proofErr w:type="gramStart"/>
      <w:r>
        <w:rPr>
          <w:sz w:val="18"/>
          <w:szCs w:val="18"/>
        </w:rPr>
        <w:t>provide</w:t>
      </w:r>
      <w:proofErr w:type="gramEnd"/>
      <w:r>
        <w:rPr>
          <w:sz w:val="18"/>
          <w:szCs w:val="18"/>
        </w:rPr>
        <w:t xml:space="preserve"> an undertaking to the JSE ensure that the total consolidated group borrowings , measured at the</w:t>
      </w:r>
      <w:r>
        <w:rPr>
          <w:sz w:val="18"/>
          <w:szCs w:val="18"/>
          <w:u w:val="single"/>
        </w:rPr>
        <w:t xml:space="preserve"> nominal value of the debt</w:t>
      </w:r>
      <w:r>
        <w:rPr>
          <w:sz w:val="18"/>
          <w:szCs w:val="18"/>
        </w:rPr>
        <w:t xml:space="preserve">, will not increase </w:t>
      </w:r>
      <w:r>
        <w:rPr>
          <w:sz w:val="18"/>
          <w:szCs w:val="18"/>
          <w:lang w:val="en-US"/>
        </w:rPr>
        <w:t xml:space="preserve">to more than 60% of the greater of GAV or adjusted GAV. This test is undertaken at the time of board </w:t>
      </w:r>
      <w:proofErr w:type="spellStart"/>
      <w:r>
        <w:rPr>
          <w:sz w:val="18"/>
          <w:szCs w:val="18"/>
          <w:lang w:val="en-US"/>
        </w:rPr>
        <w:t>authorisation</w:t>
      </w:r>
      <w:proofErr w:type="spellEnd"/>
      <w:r>
        <w:rPr>
          <w:sz w:val="18"/>
          <w:szCs w:val="18"/>
          <w:lang w:val="en-US"/>
        </w:rPr>
        <w:t xml:space="preserve"> for the borrowings. Adjusted GAV is GAV plus the increase in value of any existing properties plus the value of any new properties acquired since the date of the lasts results , where any increase in value or new valuations are supported by a valuation report prepared in terms of paragraph 13.20</w:t>
      </w:r>
      <w:r>
        <w:rPr>
          <w:sz w:val="18"/>
          <w:szCs w:val="18"/>
        </w:rPr>
        <w:t>; and</w:t>
      </w:r>
    </w:p>
    <w:p w:rsidR="00BE07A8" w:rsidRDefault="00BE07A8" w:rsidP="00BE07A8">
      <w:pPr>
        <w:spacing w:line="360" w:lineRule="auto"/>
        <w:ind w:left="1701" w:hanging="283"/>
        <w:rPr>
          <w:sz w:val="18"/>
          <w:szCs w:val="18"/>
        </w:rPr>
      </w:pPr>
      <w:r>
        <w:rPr>
          <w:sz w:val="18"/>
          <w:szCs w:val="18"/>
        </w:rPr>
        <w:t>(ii) confirm that the total consolidated group borrowings is not more than 60% of the total consolidated group assets as reflected in either its:</w:t>
      </w:r>
    </w:p>
    <w:p w:rsidR="00BE07A8" w:rsidRDefault="00BE07A8" w:rsidP="00BE07A8">
      <w:pPr>
        <w:spacing w:line="360" w:lineRule="auto"/>
        <w:ind w:left="2138" w:firstLine="22"/>
        <w:rPr>
          <w:sz w:val="18"/>
          <w:szCs w:val="18"/>
        </w:rPr>
      </w:pPr>
      <w:r>
        <w:rPr>
          <w:sz w:val="18"/>
          <w:szCs w:val="18"/>
        </w:rPr>
        <w:t xml:space="preserve">(1)  </w:t>
      </w:r>
      <w:proofErr w:type="gramStart"/>
      <w:r>
        <w:rPr>
          <w:sz w:val="18"/>
          <w:szCs w:val="18"/>
        </w:rPr>
        <w:t>latest</w:t>
      </w:r>
      <w:proofErr w:type="gramEnd"/>
      <w:r>
        <w:rPr>
          <w:sz w:val="18"/>
          <w:szCs w:val="18"/>
        </w:rPr>
        <w:t xml:space="preserve"> audited or reviewed consolidated IFRS financial statements; or</w:t>
      </w:r>
    </w:p>
    <w:p w:rsidR="00BE07A8" w:rsidRDefault="00BE07A8" w:rsidP="00BE07A8">
      <w:pPr>
        <w:spacing w:line="360" w:lineRule="auto"/>
        <w:ind w:left="2410" w:hanging="272"/>
        <w:rPr>
          <w:sz w:val="18"/>
          <w:szCs w:val="18"/>
        </w:rPr>
      </w:pPr>
      <w:r>
        <w:rPr>
          <w:sz w:val="18"/>
          <w:szCs w:val="18"/>
        </w:rPr>
        <w:t xml:space="preserve">(2) </w:t>
      </w:r>
      <w:proofErr w:type="gramStart"/>
      <w:r>
        <w:rPr>
          <w:sz w:val="18"/>
          <w:szCs w:val="18"/>
        </w:rPr>
        <w:t>pro</w:t>
      </w:r>
      <w:proofErr w:type="gramEnd"/>
      <w:r>
        <w:rPr>
          <w:sz w:val="18"/>
          <w:szCs w:val="18"/>
        </w:rPr>
        <w:t xml:space="preserve"> forma consolidated balance sheet which has been compiled in terms of paragraph 13.16, provided that the valuations attributable to the properties are supported by valuation reports prepared in terms of </w:t>
      </w:r>
      <w:r>
        <w:rPr>
          <w:sz w:val="18"/>
          <w:szCs w:val="18"/>
          <w:lang w:val="en-US"/>
        </w:rPr>
        <w:t>paragraph 13.20</w:t>
      </w:r>
      <w:r>
        <w:rPr>
          <w:sz w:val="18"/>
          <w:szCs w:val="18"/>
        </w:rPr>
        <w:t xml:space="preserve"> ;</w:t>
      </w:r>
    </w:p>
    <w:p w:rsidR="00BE07A8" w:rsidRDefault="00BE07A8" w:rsidP="00BE07A8">
      <w:pPr>
        <w:spacing w:line="360" w:lineRule="auto"/>
        <w:ind w:left="1134"/>
        <w:rPr>
          <w:sz w:val="18"/>
          <w:szCs w:val="18"/>
        </w:rPr>
      </w:pPr>
      <w:proofErr w:type="gramStart"/>
      <w:r>
        <w:rPr>
          <w:sz w:val="18"/>
          <w:szCs w:val="18"/>
        </w:rPr>
        <w:t>whichever</w:t>
      </w:r>
      <w:proofErr w:type="gramEnd"/>
      <w:r>
        <w:rPr>
          <w:sz w:val="18"/>
          <w:szCs w:val="18"/>
        </w:rPr>
        <w:t xml:space="preserve"> reflects the more recent financial position;</w:t>
      </w:r>
    </w:p>
    <w:p w:rsidR="00BE07A8" w:rsidRDefault="00BE07A8" w:rsidP="00BE07A8">
      <w:pPr>
        <w:spacing w:line="360" w:lineRule="auto"/>
        <w:ind w:left="426"/>
        <w:rPr>
          <w:sz w:val="18"/>
          <w:szCs w:val="18"/>
        </w:rPr>
      </w:pPr>
      <w:r>
        <w:rPr>
          <w:sz w:val="18"/>
          <w:szCs w:val="18"/>
        </w:rPr>
        <w:t xml:space="preserve">13.47 </w:t>
      </w:r>
      <w:r>
        <w:rPr>
          <w:sz w:val="18"/>
          <w:szCs w:val="18"/>
        </w:rPr>
        <w:tab/>
        <w:t>The MOI of a REIT must include the following REIT provisions:</w:t>
      </w:r>
    </w:p>
    <w:p w:rsidR="00BE07A8" w:rsidRDefault="00BE07A8" w:rsidP="00BE07A8">
      <w:pPr>
        <w:spacing w:line="360" w:lineRule="auto"/>
        <w:ind w:left="1134" w:hanging="283"/>
        <w:rPr>
          <w:sz w:val="18"/>
          <w:szCs w:val="18"/>
        </w:rPr>
      </w:pPr>
      <w:r>
        <w:rPr>
          <w:sz w:val="18"/>
          <w:szCs w:val="18"/>
        </w:rPr>
        <w:t>(a) t</w:t>
      </w:r>
      <w:r>
        <w:rPr>
          <w:sz w:val="18"/>
          <w:szCs w:val="18"/>
          <w:lang w:val="en-US"/>
        </w:rPr>
        <w:t>he company must distribute at least 75% of</w:t>
      </w:r>
      <w:r>
        <w:rPr>
          <w:bCs/>
          <w:sz w:val="18"/>
          <w:szCs w:val="18"/>
          <w:lang w:val="en-US"/>
        </w:rPr>
        <w:t xml:space="preserve"> </w:t>
      </w:r>
      <w:r>
        <w:rPr>
          <w:sz w:val="18"/>
          <w:szCs w:val="18"/>
        </w:rPr>
        <w:t xml:space="preserve">its total distributable profits as a distribution by no later than six months after its financial year end, subject to the relevant solvency and liquidity test as defined in </w:t>
      </w:r>
      <w:r>
        <w:rPr>
          <w:sz w:val="18"/>
          <w:szCs w:val="18"/>
          <w:u w:val="single"/>
        </w:rPr>
        <w:t>the Act and applied in section 46 of the Act</w:t>
      </w:r>
      <w:r>
        <w:rPr>
          <w:sz w:val="18"/>
          <w:szCs w:val="18"/>
        </w:rPr>
        <w:t>;</w:t>
      </w:r>
    </w:p>
    <w:p w:rsidR="00BE07A8" w:rsidRDefault="00BE07A8" w:rsidP="00BE07A8">
      <w:pPr>
        <w:spacing w:line="360" w:lineRule="auto"/>
        <w:ind w:left="1134" w:hanging="283"/>
        <w:rPr>
          <w:sz w:val="18"/>
          <w:szCs w:val="18"/>
        </w:rPr>
      </w:pPr>
      <w:r>
        <w:rPr>
          <w:sz w:val="18"/>
          <w:szCs w:val="18"/>
        </w:rPr>
        <w:t xml:space="preserve">(b) </w:t>
      </w:r>
      <w:proofErr w:type="gramStart"/>
      <w:r>
        <w:rPr>
          <w:sz w:val="18"/>
          <w:szCs w:val="18"/>
        </w:rPr>
        <w:t>the</w:t>
      </w:r>
      <w:proofErr w:type="gramEnd"/>
      <w:r>
        <w:rPr>
          <w:sz w:val="18"/>
          <w:szCs w:val="18"/>
        </w:rPr>
        <w:t xml:space="preserve"> company will procure that, subject to the solvency and liquidity test and section 46 of </w:t>
      </w:r>
      <w:r>
        <w:rPr>
          <w:sz w:val="18"/>
          <w:szCs w:val="18"/>
          <w:u w:val="single"/>
        </w:rPr>
        <w:t>the Act</w:t>
      </w:r>
      <w:r>
        <w:rPr>
          <w:sz w:val="18"/>
          <w:szCs w:val="18"/>
        </w:rPr>
        <w:t xml:space="preserve">, its subsidiaries incorporated in the Republic of South Africa will </w:t>
      </w:r>
      <w:r>
        <w:rPr>
          <w:sz w:val="18"/>
          <w:szCs w:val="18"/>
          <w:lang w:val="en-US"/>
        </w:rPr>
        <w:t>distribute at least 75% of</w:t>
      </w:r>
      <w:r>
        <w:rPr>
          <w:bCs/>
          <w:sz w:val="18"/>
          <w:szCs w:val="18"/>
          <w:lang w:val="en-US"/>
        </w:rPr>
        <w:t xml:space="preserve"> their</w:t>
      </w:r>
      <w:r>
        <w:rPr>
          <w:sz w:val="18"/>
          <w:szCs w:val="18"/>
        </w:rPr>
        <w:t xml:space="preserve"> total distributable profits as a distribution by no later than six months after their financial year ends </w:t>
      </w:r>
    </w:p>
    <w:p w:rsidR="00BE07A8" w:rsidRDefault="00BE07A8" w:rsidP="00BE07A8">
      <w:pPr>
        <w:spacing w:line="360" w:lineRule="auto"/>
        <w:ind w:left="1134" w:hanging="283"/>
        <w:rPr>
          <w:iCs/>
          <w:sz w:val="18"/>
          <w:szCs w:val="18"/>
        </w:rPr>
      </w:pPr>
      <w:r>
        <w:rPr>
          <w:sz w:val="18"/>
          <w:szCs w:val="18"/>
        </w:rPr>
        <w:t xml:space="preserve">(c) </w:t>
      </w:r>
      <w:proofErr w:type="gramStart"/>
      <w:r>
        <w:rPr>
          <w:sz w:val="18"/>
          <w:szCs w:val="18"/>
        </w:rPr>
        <w:t>d</w:t>
      </w:r>
      <w:r>
        <w:rPr>
          <w:iCs/>
          <w:sz w:val="18"/>
          <w:szCs w:val="18"/>
        </w:rPr>
        <w:t>istributable</w:t>
      </w:r>
      <w:proofErr w:type="gramEnd"/>
      <w:r>
        <w:rPr>
          <w:iCs/>
          <w:sz w:val="18"/>
          <w:szCs w:val="18"/>
        </w:rPr>
        <w:t xml:space="preserve"> profit in respect of a financial year is </w:t>
      </w:r>
    </w:p>
    <w:p w:rsidR="00BE07A8" w:rsidRDefault="00BE07A8" w:rsidP="00BE07A8">
      <w:pPr>
        <w:spacing w:line="360" w:lineRule="auto"/>
        <w:ind w:left="1701" w:hanging="283"/>
        <w:rPr>
          <w:iCs/>
          <w:sz w:val="18"/>
          <w:szCs w:val="18"/>
        </w:rPr>
      </w:pPr>
      <w:r>
        <w:rPr>
          <w:iCs/>
          <w:sz w:val="18"/>
          <w:szCs w:val="18"/>
        </w:rPr>
        <w:t>(</w:t>
      </w:r>
      <w:proofErr w:type="spellStart"/>
      <w:proofErr w:type="gramStart"/>
      <w:r>
        <w:rPr>
          <w:iCs/>
          <w:sz w:val="18"/>
          <w:szCs w:val="18"/>
        </w:rPr>
        <w:t>i</w:t>
      </w:r>
      <w:proofErr w:type="spellEnd"/>
      <w:proofErr w:type="gramEnd"/>
      <w:r>
        <w:rPr>
          <w:iCs/>
          <w:sz w:val="18"/>
          <w:szCs w:val="18"/>
        </w:rPr>
        <w:t>) gross income, as defined in terms of the Tax Act;</w:t>
      </w:r>
    </w:p>
    <w:p w:rsidR="00BE07A8" w:rsidRDefault="00BE07A8" w:rsidP="00BE07A8">
      <w:pPr>
        <w:spacing w:line="360" w:lineRule="auto"/>
        <w:ind w:left="1701" w:hanging="283"/>
        <w:rPr>
          <w:iCs/>
          <w:sz w:val="18"/>
          <w:szCs w:val="18"/>
        </w:rPr>
      </w:pPr>
      <w:r>
        <w:rPr>
          <w:iCs/>
          <w:sz w:val="18"/>
          <w:szCs w:val="18"/>
        </w:rPr>
        <w:t xml:space="preserve">(ii) </w:t>
      </w:r>
      <w:proofErr w:type="gramStart"/>
      <w:r>
        <w:rPr>
          <w:iCs/>
          <w:sz w:val="18"/>
          <w:szCs w:val="18"/>
        </w:rPr>
        <w:t>less</w:t>
      </w:r>
      <w:proofErr w:type="gramEnd"/>
      <w:r>
        <w:rPr>
          <w:iCs/>
          <w:sz w:val="18"/>
          <w:szCs w:val="18"/>
        </w:rPr>
        <w:t xml:space="preserve"> deductions and allowances that can be deducted by a REIT in terms of the Tax Act,;</w:t>
      </w:r>
    </w:p>
    <w:p w:rsidR="00BE07A8" w:rsidRDefault="00BE07A8" w:rsidP="00BE07A8">
      <w:pPr>
        <w:spacing w:line="360" w:lineRule="auto"/>
        <w:ind w:left="1701" w:hanging="283"/>
        <w:rPr>
          <w:iCs/>
          <w:sz w:val="18"/>
          <w:szCs w:val="18"/>
        </w:rPr>
      </w:pPr>
      <w:r>
        <w:rPr>
          <w:iCs/>
          <w:sz w:val="18"/>
          <w:szCs w:val="18"/>
        </w:rPr>
        <w:t xml:space="preserve">(iii) </w:t>
      </w:r>
      <w:proofErr w:type="gramStart"/>
      <w:r>
        <w:rPr>
          <w:iCs/>
          <w:sz w:val="18"/>
          <w:szCs w:val="18"/>
        </w:rPr>
        <w:t>other</w:t>
      </w:r>
      <w:proofErr w:type="gramEnd"/>
      <w:r>
        <w:rPr>
          <w:iCs/>
          <w:sz w:val="18"/>
          <w:szCs w:val="18"/>
        </w:rPr>
        <w:t xml:space="preserve"> than the qualifying distribution, as defined in terms of section 25BB of the Tax Act;</w:t>
      </w:r>
    </w:p>
    <w:p w:rsidR="00BE07A8" w:rsidRDefault="00BE07A8" w:rsidP="00BE07A8">
      <w:pPr>
        <w:spacing w:line="360" w:lineRule="auto"/>
        <w:ind w:left="1134" w:hanging="283"/>
        <w:rPr>
          <w:iCs/>
          <w:sz w:val="18"/>
          <w:szCs w:val="18"/>
        </w:rPr>
      </w:pPr>
      <w:r>
        <w:rPr>
          <w:iCs/>
          <w:sz w:val="18"/>
          <w:szCs w:val="18"/>
        </w:rPr>
        <w:t xml:space="preserve">(d) </w:t>
      </w:r>
      <w:proofErr w:type="gramStart"/>
      <w:r>
        <w:rPr>
          <w:iCs/>
          <w:sz w:val="18"/>
          <w:szCs w:val="18"/>
        </w:rPr>
        <w:t>interims</w:t>
      </w:r>
      <w:proofErr w:type="gramEnd"/>
      <w:r>
        <w:rPr>
          <w:iCs/>
          <w:sz w:val="18"/>
          <w:szCs w:val="18"/>
        </w:rPr>
        <w:t xml:space="preserve"> distributions may occur before the end of a financial year end  </w:t>
      </w:r>
    </w:p>
    <w:p w:rsidR="00BE07A8" w:rsidRDefault="00BE07A8" w:rsidP="00BE07A8">
      <w:pPr>
        <w:spacing w:line="360" w:lineRule="auto"/>
        <w:ind w:left="426"/>
        <w:rPr>
          <w:b/>
          <w:sz w:val="18"/>
          <w:szCs w:val="18"/>
        </w:rPr>
      </w:pPr>
    </w:p>
    <w:p w:rsidR="00BE07A8" w:rsidRDefault="00BE07A8" w:rsidP="00BE07A8">
      <w:pPr>
        <w:spacing w:line="360" w:lineRule="auto"/>
        <w:ind w:left="426"/>
        <w:rPr>
          <w:b/>
          <w:sz w:val="18"/>
          <w:szCs w:val="18"/>
        </w:rPr>
      </w:pPr>
      <w:r>
        <w:rPr>
          <w:b/>
          <w:sz w:val="18"/>
          <w:szCs w:val="18"/>
        </w:rPr>
        <w:t>Application for an existing issuer to receive REIT status</w:t>
      </w:r>
    </w:p>
    <w:p w:rsidR="00BE07A8" w:rsidRDefault="00BE07A8" w:rsidP="00BE07A8">
      <w:pPr>
        <w:spacing w:line="360" w:lineRule="auto"/>
        <w:ind w:left="426"/>
        <w:rPr>
          <w:sz w:val="18"/>
          <w:szCs w:val="18"/>
        </w:rPr>
      </w:pPr>
      <w:r>
        <w:rPr>
          <w:sz w:val="18"/>
          <w:szCs w:val="18"/>
        </w:rPr>
        <w:t>13.48</w:t>
      </w:r>
      <w:r>
        <w:rPr>
          <w:sz w:val="18"/>
          <w:szCs w:val="18"/>
        </w:rPr>
        <w:tab/>
        <w:t xml:space="preserve"> An issuer wishing to make application to receive a REIT status must:</w:t>
      </w:r>
    </w:p>
    <w:p w:rsidR="00BE07A8" w:rsidRDefault="00BE07A8" w:rsidP="00BE07A8">
      <w:pPr>
        <w:spacing w:line="360" w:lineRule="auto"/>
        <w:ind w:left="1134" w:hanging="283"/>
        <w:rPr>
          <w:sz w:val="18"/>
          <w:szCs w:val="18"/>
        </w:rPr>
      </w:pPr>
      <w:r>
        <w:rPr>
          <w:sz w:val="18"/>
          <w:szCs w:val="18"/>
        </w:rPr>
        <w:t xml:space="preserve">(a) Comply with the provisions of paragraph 13.46; </w:t>
      </w:r>
    </w:p>
    <w:p w:rsidR="00BE07A8" w:rsidRDefault="00BE07A8" w:rsidP="00BE07A8">
      <w:pPr>
        <w:spacing w:line="360" w:lineRule="auto"/>
        <w:ind w:left="1134" w:hanging="283"/>
        <w:rPr>
          <w:sz w:val="18"/>
          <w:szCs w:val="18"/>
        </w:rPr>
      </w:pPr>
      <w:r>
        <w:rPr>
          <w:sz w:val="18"/>
          <w:szCs w:val="18"/>
        </w:rPr>
        <w:t>(b) Not have failed the REIT tax test for the last two consecutive financial years; and</w:t>
      </w:r>
    </w:p>
    <w:p w:rsidR="00BE07A8" w:rsidRDefault="00BE07A8" w:rsidP="00BE07A8">
      <w:pPr>
        <w:spacing w:line="360" w:lineRule="auto"/>
        <w:ind w:left="1134" w:hanging="283"/>
        <w:rPr>
          <w:sz w:val="18"/>
          <w:szCs w:val="18"/>
        </w:rPr>
      </w:pPr>
      <w:r>
        <w:rPr>
          <w:sz w:val="18"/>
          <w:szCs w:val="18"/>
        </w:rPr>
        <w:t>(c) Not have been in breach of the REIT provisions of its MOI in the last 24 months, where their MOI included the wording set out in paragraph 13.47.</w:t>
      </w:r>
    </w:p>
    <w:p w:rsidR="00BE07A8" w:rsidRDefault="00BE07A8" w:rsidP="00BE07A8">
      <w:pPr>
        <w:spacing w:line="360" w:lineRule="auto"/>
        <w:ind w:left="426"/>
        <w:rPr>
          <w:b/>
          <w:sz w:val="18"/>
          <w:szCs w:val="18"/>
        </w:rPr>
      </w:pPr>
    </w:p>
    <w:p w:rsidR="00BE07A8" w:rsidRDefault="00BE07A8" w:rsidP="00BE07A8">
      <w:pPr>
        <w:spacing w:line="360" w:lineRule="auto"/>
        <w:ind w:left="426"/>
        <w:rPr>
          <w:b/>
          <w:sz w:val="18"/>
          <w:szCs w:val="18"/>
        </w:rPr>
      </w:pPr>
      <w:r>
        <w:rPr>
          <w:b/>
          <w:sz w:val="18"/>
          <w:szCs w:val="18"/>
        </w:rPr>
        <w:t>Continuing obligations for REIT’s</w:t>
      </w:r>
    </w:p>
    <w:p w:rsidR="00BE07A8" w:rsidRDefault="00BE07A8" w:rsidP="00BE07A8">
      <w:pPr>
        <w:spacing w:line="360" w:lineRule="auto"/>
        <w:ind w:left="1134" w:hanging="708"/>
        <w:rPr>
          <w:sz w:val="18"/>
          <w:szCs w:val="18"/>
        </w:rPr>
      </w:pPr>
      <w:r>
        <w:rPr>
          <w:sz w:val="18"/>
          <w:szCs w:val="18"/>
        </w:rPr>
        <w:t>13.49</w:t>
      </w:r>
      <w:r>
        <w:rPr>
          <w:sz w:val="18"/>
          <w:szCs w:val="18"/>
        </w:rPr>
        <w:tab/>
        <w:t>In order to retain their REIT status, applicant issuers must, on an ongoing basis, meet the following criteria:</w:t>
      </w:r>
    </w:p>
    <w:p w:rsidR="00BE07A8" w:rsidRDefault="00BE07A8" w:rsidP="00BE07A8">
      <w:pPr>
        <w:spacing w:line="360" w:lineRule="auto"/>
        <w:ind w:left="1134" w:hanging="283"/>
        <w:rPr>
          <w:sz w:val="18"/>
          <w:szCs w:val="18"/>
        </w:rPr>
      </w:pPr>
      <w:r>
        <w:rPr>
          <w:sz w:val="18"/>
          <w:szCs w:val="18"/>
        </w:rPr>
        <w:t xml:space="preserve">(a) </w:t>
      </w:r>
      <w:proofErr w:type="gramStart"/>
      <w:r>
        <w:rPr>
          <w:sz w:val="18"/>
          <w:szCs w:val="18"/>
        </w:rPr>
        <w:t>the</w:t>
      </w:r>
      <w:proofErr w:type="gramEnd"/>
      <w:r>
        <w:rPr>
          <w:sz w:val="18"/>
          <w:szCs w:val="18"/>
        </w:rPr>
        <w:t xml:space="preserve"> MOI of the applicant issuer must continue to contain the provisions set out in paragraph 13.47:</w:t>
      </w:r>
    </w:p>
    <w:p w:rsidR="00BE07A8" w:rsidRDefault="00BE07A8" w:rsidP="00BE07A8">
      <w:pPr>
        <w:spacing w:line="360" w:lineRule="auto"/>
        <w:ind w:left="1134" w:hanging="283"/>
        <w:rPr>
          <w:sz w:val="18"/>
          <w:szCs w:val="18"/>
        </w:rPr>
      </w:pPr>
      <w:r>
        <w:rPr>
          <w:sz w:val="18"/>
          <w:szCs w:val="18"/>
        </w:rPr>
        <w:t xml:space="preserve">(b) </w:t>
      </w:r>
      <w:proofErr w:type="gramStart"/>
      <w:r>
        <w:rPr>
          <w:sz w:val="18"/>
          <w:szCs w:val="18"/>
        </w:rPr>
        <w:t>the</w:t>
      </w:r>
      <w:proofErr w:type="gramEnd"/>
      <w:r>
        <w:rPr>
          <w:sz w:val="18"/>
          <w:szCs w:val="18"/>
        </w:rPr>
        <w:t xml:space="preserve"> applicant issuer must :</w:t>
      </w:r>
    </w:p>
    <w:p w:rsidR="00BE07A8" w:rsidRDefault="00BE07A8" w:rsidP="00BE07A8">
      <w:pPr>
        <w:spacing w:line="360" w:lineRule="auto"/>
        <w:ind w:left="1418" w:hanging="284"/>
        <w:rPr>
          <w:sz w:val="18"/>
          <w:szCs w:val="18"/>
        </w:rPr>
      </w:pPr>
      <w:r>
        <w:rPr>
          <w:sz w:val="18"/>
          <w:szCs w:val="18"/>
        </w:rPr>
        <w:t>(</w:t>
      </w:r>
      <w:proofErr w:type="spellStart"/>
      <w:r>
        <w:rPr>
          <w:sz w:val="18"/>
          <w:szCs w:val="18"/>
        </w:rPr>
        <w:t>i</w:t>
      </w:r>
      <w:proofErr w:type="spellEnd"/>
      <w:r>
        <w:rPr>
          <w:sz w:val="18"/>
          <w:szCs w:val="18"/>
        </w:rPr>
        <w:t xml:space="preserve">) </w:t>
      </w:r>
      <w:proofErr w:type="gramStart"/>
      <w:r>
        <w:rPr>
          <w:sz w:val="18"/>
          <w:szCs w:val="18"/>
        </w:rPr>
        <w:t>qualify</w:t>
      </w:r>
      <w:proofErr w:type="gramEnd"/>
      <w:r>
        <w:rPr>
          <w:sz w:val="18"/>
          <w:szCs w:val="18"/>
        </w:rPr>
        <w:t xml:space="preserve"> for a tax deduction of distributions under section 25BB(2) of the Tax Act for the immediately preceding financial year end ; or </w:t>
      </w:r>
    </w:p>
    <w:p w:rsidR="00BE07A8" w:rsidRDefault="00BE07A8" w:rsidP="00BE07A8">
      <w:pPr>
        <w:spacing w:line="360" w:lineRule="auto"/>
        <w:ind w:left="1418" w:hanging="284"/>
        <w:rPr>
          <w:sz w:val="18"/>
          <w:szCs w:val="18"/>
        </w:rPr>
      </w:pPr>
      <w:r>
        <w:rPr>
          <w:sz w:val="18"/>
          <w:szCs w:val="18"/>
        </w:rPr>
        <w:t xml:space="preserve">(ii) </w:t>
      </w:r>
      <w:proofErr w:type="gramStart"/>
      <w:r>
        <w:rPr>
          <w:sz w:val="18"/>
          <w:szCs w:val="18"/>
        </w:rPr>
        <w:t>must</w:t>
      </w:r>
      <w:proofErr w:type="gramEnd"/>
      <w:r>
        <w:rPr>
          <w:sz w:val="18"/>
          <w:szCs w:val="18"/>
        </w:rPr>
        <w:t xml:space="preserve"> not have failed the REIT tax test for the last two consecutive financial year ends: </w:t>
      </w:r>
    </w:p>
    <w:p w:rsidR="00BE07A8" w:rsidRDefault="00BE07A8" w:rsidP="00BE07A8">
      <w:pPr>
        <w:spacing w:line="360" w:lineRule="auto"/>
        <w:ind w:left="1134" w:hanging="283"/>
        <w:rPr>
          <w:sz w:val="18"/>
          <w:szCs w:val="18"/>
        </w:rPr>
      </w:pPr>
      <w:r>
        <w:rPr>
          <w:sz w:val="18"/>
          <w:szCs w:val="18"/>
        </w:rPr>
        <w:t xml:space="preserve">(c) </w:t>
      </w:r>
      <w:proofErr w:type="gramStart"/>
      <w:r>
        <w:rPr>
          <w:sz w:val="18"/>
          <w:szCs w:val="18"/>
        </w:rPr>
        <w:t>the</w:t>
      </w:r>
      <w:proofErr w:type="gramEnd"/>
      <w:r>
        <w:rPr>
          <w:sz w:val="18"/>
          <w:szCs w:val="18"/>
        </w:rPr>
        <w:t xml:space="preserve"> directors of the REIT must ensure that:</w:t>
      </w:r>
    </w:p>
    <w:p w:rsidR="00BE07A8" w:rsidRDefault="00BE07A8" w:rsidP="00BE07A8">
      <w:pPr>
        <w:spacing w:line="360" w:lineRule="auto"/>
        <w:ind w:left="1276" w:hanging="142"/>
        <w:rPr>
          <w:sz w:val="18"/>
          <w:szCs w:val="18"/>
        </w:rPr>
      </w:pPr>
      <w:r>
        <w:rPr>
          <w:sz w:val="18"/>
          <w:szCs w:val="18"/>
        </w:rPr>
        <w:t>(</w:t>
      </w:r>
      <w:proofErr w:type="spellStart"/>
      <w:r>
        <w:rPr>
          <w:sz w:val="18"/>
          <w:szCs w:val="18"/>
        </w:rPr>
        <w:t>i</w:t>
      </w:r>
      <w:proofErr w:type="spellEnd"/>
      <w:r>
        <w:rPr>
          <w:sz w:val="18"/>
          <w:szCs w:val="18"/>
        </w:rPr>
        <w:t>) the total consolidated group borrowings of the issuer will not be more than 60% of the total consolidated group assets as reflected in their IFRS results; or</w:t>
      </w:r>
    </w:p>
    <w:p w:rsidR="00BE07A8" w:rsidRDefault="00BE07A8" w:rsidP="00BE07A8">
      <w:pPr>
        <w:spacing w:line="360" w:lineRule="auto"/>
        <w:ind w:left="1276" w:hanging="142"/>
        <w:rPr>
          <w:sz w:val="18"/>
          <w:szCs w:val="18"/>
        </w:rPr>
      </w:pPr>
      <w:r>
        <w:rPr>
          <w:sz w:val="18"/>
          <w:szCs w:val="18"/>
        </w:rPr>
        <w:t xml:space="preserve">(ii) </w:t>
      </w:r>
      <w:proofErr w:type="gramStart"/>
      <w:r>
        <w:rPr>
          <w:sz w:val="18"/>
          <w:szCs w:val="18"/>
        </w:rPr>
        <w:t>if</w:t>
      </w:r>
      <w:proofErr w:type="gramEnd"/>
      <w:r>
        <w:rPr>
          <w:sz w:val="18"/>
          <w:szCs w:val="18"/>
        </w:rPr>
        <w:t xml:space="preserve"> this is not the case that they did comply with their undertaking provided in terms of paragraph 13.46(g)(</w:t>
      </w:r>
      <w:proofErr w:type="spellStart"/>
      <w:r>
        <w:rPr>
          <w:sz w:val="18"/>
          <w:szCs w:val="18"/>
        </w:rPr>
        <w:t>i</w:t>
      </w:r>
      <w:proofErr w:type="spellEnd"/>
      <w:r>
        <w:rPr>
          <w:sz w:val="18"/>
          <w:szCs w:val="18"/>
        </w:rPr>
        <w:t xml:space="preserve">): </w:t>
      </w:r>
    </w:p>
    <w:p w:rsidR="00BE07A8" w:rsidRDefault="00BE07A8" w:rsidP="00BE07A8">
      <w:pPr>
        <w:spacing w:line="360" w:lineRule="auto"/>
        <w:ind w:left="993" w:hanging="142"/>
        <w:rPr>
          <w:sz w:val="18"/>
          <w:szCs w:val="18"/>
        </w:rPr>
      </w:pPr>
      <w:r>
        <w:rPr>
          <w:sz w:val="18"/>
          <w:szCs w:val="18"/>
        </w:rPr>
        <w:t xml:space="preserve">(d) </w:t>
      </w:r>
      <w:proofErr w:type="gramStart"/>
      <w:r>
        <w:rPr>
          <w:sz w:val="18"/>
          <w:szCs w:val="18"/>
        </w:rPr>
        <w:t>the</w:t>
      </w:r>
      <w:proofErr w:type="gramEnd"/>
      <w:r>
        <w:rPr>
          <w:sz w:val="18"/>
          <w:szCs w:val="18"/>
        </w:rPr>
        <w:t xml:space="preserve"> directors of the REIT must submit a compliance declaration to the JSE within 6 months of the issuer’s financial year end which must:</w:t>
      </w:r>
    </w:p>
    <w:p w:rsidR="00BE07A8" w:rsidRDefault="00BE07A8" w:rsidP="00BE07A8">
      <w:pPr>
        <w:spacing w:line="360" w:lineRule="auto"/>
        <w:ind w:left="1418" w:hanging="141"/>
        <w:rPr>
          <w:sz w:val="18"/>
          <w:szCs w:val="18"/>
        </w:rPr>
      </w:pPr>
      <w:r>
        <w:rPr>
          <w:sz w:val="18"/>
          <w:szCs w:val="18"/>
        </w:rPr>
        <w:t>(</w:t>
      </w:r>
      <w:proofErr w:type="spellStart"/>
      <w:r>
        <w:rPr>
          <w:sz w:val="18"/>
          <w:szCs w:val="18"/>
        </w:rPr>
        <w:t>i</w:t>
      </w:r>
      <w:proofErr w:type="spellEnd"/>
      <w:r>
        <w:rPr>
          <w:sz w:val="18"/>
          <w:szCs w:val="18"/>
        </w:rPr>
        <w:t>) confirm that the directors of the issuer have ensured that the applicant issuer’s group compiled with paragraph 13.46(f) and (g)(</w:t>
      </w:r>
      <w:proofErr w:type="spellStart"/>
      <w:r>
        <w:rPr>
          <w:sz w:val="18"/>
          <w:szCs w:val="18"/>
        </w:rPr>
        <w:t>i</w:t>
      </w:r>
      <w:proofErr w:type="spellEnd"/>
      <w:r>
        <w:rPr>
          <w:sz w:val="18"/>
          <w:szCs w:val="18"/>
        </w:rPr>
        <w:t>) above; or</w:t>
      </w:r>
    </w:p>
    <w:p w:rsidR="00BE07A8" w:rsidRDefault="00BE07A8" w:rsidP="00BE07A8">
      <w:pPr>
        <w:spacing w:line="360" w:lineRule="auto"/>
        <w:ind w:left="1418" w:hanging="141"/>
        <w:rPr>
          <w:sz w:val="18"/>
          <w:szCs w:val="18"/>
        </w:rPr>
      </w:pPr>
      <w:r>
        <w:rPr>
          <w:sz w:val="18"/>
          <w:szCs w:val="18"/>
        </w:rPr>
        <w:t>(ii) where the issuer did not comply with paragraph 13.46 (g)(</w:t>
      </w:r>
      <w:proofErr w:type="spellStart"/>
      <w:r>
        <w:rPr>
          <w:sz w:val="18"/>
          <w:szCs w:val="18"/>
        </w:rPr>
        <w:t>i</w:t>
      </w:r>
      <w:proofErr w:type="spellEnd"/>
      <w:r>
        <w:rPr>
          <w:sz w:val="18"/>
          <w:szCs w:val="18"/>
        </w:rPr>
        <w:t>) above, the directors must confirm that despite the non-compliance, the total consolidated group borrowings of the issuer are not more than 60% of the total consolidated group assets as reflected in the annual financial statements for that financial year end;</w:t>
      </w:r>
    </w:p>
    <w:p w:rsidR="00BE07A8" w:rsidRDefault="00BE07A8" w:rsidP="00BE07A8">
      <w:pPr>
        <w:spacing w:line="360" w:lineRule="auto"/>
        <w:ind w:left="1418" w:hanging="141"/>
        <w:rPr>
          <w:sz w:val="18"/>
          <w:szCs w:val="18"/>
        </w:rPr>
      </w:pPr>
      <w:r>
        <w:rPr>
          <w:sz w:val="18"/>
          <w:szCs w:val="18"/>
        </w:rPr>
        <w:t xml:space="preserve">(iii) </w:t>
      </w:r>
      <w:proofErr w:type="gramStart"/>
      <w:r>
        <w:rPr>
          <w:sz w:val="18"/>
          <w:szCs w:val="18"/>
        </w:rPr>
        <w:t>be</w:t>
      </w:r>
      <w:proofErr w:type="gramEnd"/>
      <w:r>
        <w:rPr>
          <w:sz w:val="18"/>
          <w:szCs w:val="18"/>
        </w:rPr>
        <w:t xml:space="preserve"> signed by all of the directors, the company secretary and the sponsor/ designated advisor of the issuer; and</w:t>
      </w:r>
    </w:p>
    <w:p w:rsidR="00BE07A8" w:rsidRDefault="00BE07A8" w:rsidP="00BE07A8">
      <w:pPr>
        <w:spacing w:line="360" w:lineRule="auto"/>
        <w:ind w:left="1418" w:hanging="141"/>
        <w:rPr>
          <w:sz w:val="18"/>
          <w:szCs w:val="18"/>
        </w:rPr>
      </w:pPr>
      <w:r>
        <w:rPr>
          <w:sz w:val="18"/>
          <w:szCs w:val="18"/>
        </w:rPr>
        <w:t xml:space="preserve">(iv) </w:t>
      </w:r>
      <w:proofErr w:type="gramStart"/>
      <w:r>
        <w:rPr>
          <w:sz w:val="18"/>
          <w:szCs w:val="18"/>
        </w:rPr>
        <w:t>be</w:t>
      </w:r>
      <w:proofErr w:type="gramEnd"/>
      <w:r>
        <w:rPr>
          <w:sz w:val="18"/>
          <w:szCs w:val="18"/>
        </w:rPr>
        <w:t xml:space="preserve"> submitted at the time of submission of the issuers annual report (which report must be submitted in terms of paragraph 3.21 of the Listings Requirements). </w:t>
      </w:r>
    </w:p>
    <w:p w:rsidR="00BE07A8" w:rsidRDefault="00BE07A8" w:rsidP="00BE07A8">
      <w:pPr>
        <w:spacing w:line="360" w:lineRule="auto"/>
        <w:ind w:left="426"/>
        <w:rPr>
          <w:sz w:val="18"/>
          <w:szCs w:val="18"/>
        </w:rPr>
      </w:pPr>
      <w:r>
        <w:rPr>
          <w:sz w:val="18"/>
          <w:szCs w:val="18"/>
        </w:rPr>
        <w:t>13.50 The following procedure shall apply to an issuer that fails to comply with paragraph 13.49(d):</w:t>
      </w:r>
    </w:p>
    <w:p w:rsidR="00BE07A8" w:rsidRDefault="00BE07A8" w:rsidP="00BE07A8">
      <w:pPr>
        <w:spacing w:line="360" w:lineRule="auto"/>
        <w:ind w:left="1134" w:hanging="283"/>
        <w:rPr>
          <w:sz w:val="18"/>
          <w:szCs w:val="18"/>
        </w:rPr>
      </w:pPr>
      <w:r>
        <w:rPr>
          <w:sz w:val="18"/>
          <w:szCs w:val="18"/>
        </w:rPr>
        <w:t>(a) on the day following the due date as contemplated in paragraph 13.49(d) above, a letter of reminder will be sent by the JSE to the issuer requesting that it rectify the situation and advising that it has been granted a period of one month, from the date of such reminder, in which to submit the compliance declaration, failing which the issuer’s REIT status will be removed by the JSE;</w:t>
      </w:r>
    </w:p>
    <w:p w:rsidR="00BE07A8" w:rsidRDefault="00BE07A8" w:rsidP="00BE07A8">
      <w:pPr>
        <w:pStyle w:val="a-000"/>
        <w:spacing w:line="360" w:lineRule="auto"/>
        <w:ind w:left="1134" w:hanging="283"/>
        <w:rPr>
          <w:rFonts w:ascii="Arial" w:hAnsi="Arial" w:cs="Arial"/>
          <w:sz w:val="18"/>
          <w:szCs w:val="18"/>
        </w:rPr>
      </w:pPr>
      <w:r>
        <w:rPr>
          <w:rFonts w:ascii="Arial" w:hAnsi="Arial" w:cs="Arial"/>
          <w:sz w:val="18"/>
          <w:szCs w:val="18"/>
        </w:rPr>
        <w:t>(b) failing compliance within 14 days of dispatch of the reminder to the issuer, the JSE will release an announcement through SENS informing holders of securities that the issuer has not submitted its compliance declaration and cautioning shareholders that the issuer REIT status is under threat of removal; and</w:t>
      </w:r>
    </w:p>
    <w:p w:rsidR="00BE07A8" w:rsidRDefault="00BE07A8" w:rsidP="00BE07A8">
      <w:pPr>
        <w:pStyle w:val="a-000"/>
        <w:spacing w:line="360" w:lineRule="auto"/>
        <w:ind w:left="1134" w:hanging="283"/>
        <w:rPr>
          <w:rFonts w:ascii="Arial" w:hAnsi="Arial" w:cs="Arial"/>
          <w:sz w:val="18"/>
          <w:szCs w:val="18"/>
        </w:rPr>
      </w:pPr>
      <w:r>
        <w:rPr>
          <w:rFonts w:ascii="Arial" w:hAnsi="Arial" w:cs="Arial"/>
          <w:sz w:val="18"/>
          <w:szCs w:val="18"/>
        </w:rPr>
        <w:t xml:space="preserve">(c) the issuer’s REIT status will be removed by the JSE if it fails to submit the compliance declaration within one month period referred to in (a) above and the JSE will release an announcement on SENS confirming this fact. </w:t>
      </w:r>
    </w:p>
    <w:p w:rsidR="00BE07A8" w:rsidRDefault="00BE07A8" w:rsidP="00BE07A8">
      <w:pPr>
        <w:spacing w:line="360" w:lineRule="auto"/>
        <w:ind w:left="1134" w:hanging="708"/>
        <w:rPr>
          <w:sz w:val="18"/>
          <w:szCs w:val="18"/>
        </w:rPr>
      </w:pPr>
      <w:r>
        <w:rPr>
          <w:sz w:val="18"/>
          <w:szCs w:val="18"/>
        </w:rPr>
        <w:t>13.51</w:t>
      </w:r>
      <w:r>
        <w:rPr>
          <w:sz w:val="18"/>
          <w:szCs w:val="18"/>
        </w:rPr>
        <w:tab/>
        <w:t xml:space="preserve">In every announcement that a REIT makes: </w:t>
      </w:r>
    </w:p>
    <w:p w:rsidR="00BE07A8" w:rsidRDefault="00BE07A8" w:rsidP="00BE07A8">
      <w:pPr>
        <w:spacing w:line="360" w:lineRule="auto"/>
        <w:ind w:left="1134"/>
        <w:rPr>
          <w:sz w:val="18"/>
          <w:szCs w:val="18"/>
        </w:rPr>
      </w:pPr>
      <w:r>
        <w:rPr>
          <w:sz w:val="18"/>
          <w:szCs w:val="18"/>
        </w:rPr>
        <w:t xml:space="preserve">(a) </w:t>
      </w:r>
      <w:proofErr w:type="gramStart"/>
      <w:r>
        <w:rPr>
          <w:sz w:val="18"/>
          <w:szCs w:val="18"/>
        </w:rPr>
        <w:t>it</w:t>
      </w:r>
      <w:proofErr w:type="gramEnd"/>
      <w:r>
        <w:rPr>
          <w:sz w:val="18"/>
          <w:szCs w:val="18"/>
        </w:rPr>
        <w:t xml:space="preserve"> must make reference to the fact that it has a REIT status with the JSE; and</w:t>
      </w:r>
    </w:p>
    <w:p w:rsidR="00BE07A8" w:rsidRDefault="00BE07A8" w:rsidP="00BE07A8">
      <w:pPr>
        <w:spacing w:line="360" w:lineRule="auto"/>
        <w:ind w:left="1134"/>
        <w:rPr>
          <w:sz w:val="18"/>
          <w:szCs w:val="18"/>
        </w:rPr>
      </w:pPr>
      <w:r>
        <w:rPr>
          <w:sz w:val="18"/>
          <w:szCs w:val="18"/>
        </w:rPr>
        <w:t xml:space="preserve">(b) </w:t>
      </w:r>
      <w:proofErr w:type="gramStart"/>
      <w:r>
        <w:rPr>
          <w:sz w:val="18"/>
          <w:szCs w:val="18"/>
        </w:rPr>
        <w:t>for</w:t>
      </w:r>
      <w:proofErr w:type="gramEnd"/>
      <w:r>
        <w:rPr>
          <w:sz w:val="18"/>
          <w:szCs w:val="18"/>
        </w:rPr>
        <w:t xml:space="preserve"> announcements that deal with  distributions they must specify;</w:t>
      </w:r>
    </w:p>
    <w:p w:rsidR="00BE07A8" w:rsidRDefault="00BE07A8" w:rsidP="00BE07A8">
      <w:pPr>
        <w:spacing w:line="360" w:lineRule="auto"/>
        <w:ind w:left="1440"/>
        <w:rPr>
          <w:sz w:val="18"/>
          <w:szCs w:val="18"/>
        </w:rPr>
      </w:pPr>
      <w:r>
        <w:rPr>
          <w:sz w:val="18"/>
          <w:szCs w:val="18"/>
        </w:rPr>
        <w:t>(</w:t>
      </w:r>
      <w:proofErr w:type="spellStart"/>
      <w:r>
        <w:rPr>
          <w:sz w:val="18"/>
          <w:szCs w:val="18"/>
        </w:rPr>
        <w:t>i</w:t>
      </w:r>
      <w:proofErr w:type="spellEnd"/>
      <w:r>
        <w:rPr>
          <w:sz w:val="18"/>
          <w:szCs w:val="18"/>
        </w:rPr>
        <w:t xml:space="preserve">)  </w:t>
      </w:r>
      <w:proofErr w:type="gramStart"/>
      <w:r>
        <w:rPr>
          <w:sz w:val="18"/>
          <w:szCs w:val="18"/>
        </w:rPr>
        <w:t>that</w:t>
      </w:r>
      <w:proofErr w:type="gramEnd"/>
      <w:r>
        <w:rPr>
          <w:sz w:val="18"/>
          <w:szCs w:val="18"/>
        </w:rPr>
        <w:t xml:space="preserve"> this distribution is effectively regarded as rental income in that hands of the local tax resident and dividend for foreign tax revenue recipient for tax purposes; and</w:t>
      </w:r>
    </w:p>
    <w:p w:rsidR="00BE07A8" w:rsidRDefault="00BE07A8" w:rsidP="00BE07A8">
      <w:pPr>
        <w:spacing w:line="360" w:lineRule="auto"/>
        <w:ind w:left="1440"/>
        <w:rPr>
          <w:sz w:val="18"/>
          <w:szCs w:val="18"/>
        </w:rPr>
      </w:pPr>
      <w:r>
        <w:rPr>
          <w:sz w:val="18"/>
          <w:szCs w:val="18"/>
        </w:rPr>
        <w:t xml:space="preserve">(ii) </w:t>
      </w:r>
      <w:proofErr w:type="gramStart"/>
      <w:r>
        <w:rPr>
          <w:sz w:val="18"/>
          <w:szCs w:val="18"/>
        </w:rPr>
        <w:t>for</w:t>
      </w:r>
      <w:proofErr w:type="gramEnd"/>
      <w:r>
        <w:rPr>
          <w:sz w:val="18"/>
          <w:szCs w:val="18"/>
        </w:rPr>
        <w:t xml:space="preserve"> which financial year end the distribution relates to. </w:t>
      </w:r>
    </w:p>
    <w:p w:rsidR="00BE07A8" w:rsidRDefault="00BE07A8" w:rsidP="00BE07A8">
      <w:pPr>
        <w:spacing w:line="360" w:lineRule="auto"/>
        <w:ind w:left="1134" w:hanging="708"/>
        <w:rPr>
          <w:sz w:val="18"/>
          <w:szCs w:val="18"/>
        </w:rPr>
      </w:pPr>
      <w:r>
        <w:rPr>
          <w:sz w:val="18"/>
          <w:szCs w:val="18"/>
        </w:rPr>
        <w:t xml:space="preserve">13.52 </w:t>
      </w:r>
      <w:r>
        <w:rPr>
          <w:sz w:val="18"/>
          <w:szCs w:val="18"/>
        </w:rPr>
        <w:tab/>
        <w:t>An issuer with a REIT status must keep the market informed regarding its tax status. In this regard the issuer must release an announcement containing full details of the implications thereof for the issuer and its shareholders, without delay, if it:</w:t>
      </w:r>
    </w:p>
    <w:p w:rsidR="00BE07A8" w:rsidRDefault="00BE07A8" w:rsidP="00BE07A8">
      <w:pPr>
        <w:spacing w:line="360" w:lineRule="auto"/>
        <w:ind w:left="1134" w:hanging="283"/>
        <w:rPr>
          <w:sz w:val="18"/>
          <w:szCs w:val="18"/>
        </w:rPr>
      </w:pPr>
      <w:r>
        <w:rPr>
          <w:sz w:val="18"/>
          <w:szCs w:val="18"/>
        </w:rPr>
        <w:t xml:space="preserve">(a) </w:t>
      </w:r>
      <w:proofErr w:type="gramStart"/>
      <w:r>
        <w:rPr>
          <w:sz w:val="18"/>
          <w:szCs w:val="18"/>
        </w:rPr>
        <w:t>fails</w:t>
      </w:r>
      <w:proofErr w:type="gramEnd"/>
      <w:r>
        <w:rPr>
          <w:sz w:val="18"/>
          <w:szCs w:val="18"/>
        </w:rPr>
        <w:t xml:space="preserve"> the REIT tax test or believes that it will not qualify for a tax deduction of distributions under section 25BB(2) of the Tax Act;</w:t>
      </w:r>
    </w:p>
    <w:p w:rsidR="00BE07A8" w:rsidRDefault="00BE07A8" w:rsidP="00BE07A8">
      <w:pPr>
        <w:spacing w:line="360" w:lineRule="auto"/>
        <w:ind w:left="1134" w:hanging="283"/>
        <w:rPr>
          <w:sz w:val="18"/>
          <w:szCs w:val="18"/>
        </w:rPr>
      </w:pPr>
      <w:r>
        <w:rPr>
          <w:sz w:val="18"/>
          <w:szCs w:val="18"/>
        </w:rPr>
        <w:t xml:space="preserve">(b) </w:t>
      </w:r>
      <w:proofErr w:type="gramStart"/>
      <w:r>
        <w:rPr>
          <w:sz w:val="18"/>
          <w:szCs w:val="18"/>
        </w:rPr>
        <w:t>has</w:t>
      </w:r>
      <w:proofErr w:type="gramEnd"/>
      <w:r>
        <w:rPr>
          <w:sz w:val="18"/>
          <w:szCs w:val="18"/>
        </w:rPr>
        <w:t xml:space="preserve"> breached the REIT provisions of its MOI as set out in paragraph 13.47; or</w:t>
      </w:r>
    </w:p>
    <w:p w:rsidR="00BE07A8" w:rsidRDefault="00BE07A8" w:rsidP="00BE07A8">
      <w:pPr>
        <w:spacing w:line="360" w:lineRule="auto"/>
        <w:ind w:left="1134" w:hanging="283"/>
        <w:rPr>
          <w:sz w:val="18"/>
          <w:szCs w:val="18"/>
        </w:rPr>
      </w:pPr>
      <w:r>
        <w:rPr>
          <w:sz w:val="18"/>
          <w:szCs w:val="18"/>
        </w:rPr>
        <w:t xml:space="preserve">(c) </w:t>
      </w:r>
      <w:proofErr w:type="gramStart"/>
      <w:r>
        <w:rPr>
          <w:sz w:val="18"/>
          <w:szCs w:val="18"/>
        </w:rPr>
        <w:t>has</w:t>
      </w:r>
      <w:proofErr w:type="gramEnd"/>
      <w:r>
        <w:rPr>
          <w:sz w:val="18"/>
          <w:szCs w:val="18"/>
        </w:rPr>
        <w:t xml:space="preserve"> breached the gearing provisions of paragraph 13.49(c) </w:t>
      </w:r>
    </w:p>
    <w:p w:rsidR="00BE07A8" w:rsidRDefault="00BE07A8" w:rsidP="00BE07A8">
      <w:pPr>
        <w:spacing w:line="360" w:lineRule="auto"/>
        <w:ind w:left="1134" w:hanging="708"/>
        <w:rPr>
          <w:sz w:val="18"/>
          <w:szCs w:val="18"/>
        </w:rPr>
      </w:pPr>
      <w:r>
        <w:rPr>
          <w:sz w:val="18"/>
          <w:szCs w:val="18"/>
        </w:rPr>
        <w:t>13.53</w:t>
      </w:r>
      <w:r>
        <w:rPr>
          <w:sz w:val="18"/>
          <w:szCs w:val="18"/>
        </w:rPr>
        <w:tab/>
        <w:t>Where at any time, an issuer, fails to comply with any of the REIT requirements as set out in paragraph 13.49:</w:t>
      </w:r>
    </w:p>
    <w:p w:rsidR="00BE07A8" w:rsidRDefault="00BE07A8" w:rsidP="00BE07A8">
      <w:pPr>
        <w:spacing w:line="360" w:lineRule="auto"/>
        <w:ind w:left="993"/>
        <w:rPr>
          <w:sz w:val="18"/>
          <w:szCs w:val="18"/>
        </w:rPr>
      </w:pPr>
      <w:r>
        <w:rPr>
          <w:sz w:val="18"/>
          <w:szCs w:val="18"/>
        </w:rPr>
        <w:t xml:space="preserve">(a) </w:t>
      </w:r>
      <w:proofErr w:type="gramStart"/>
      <w:r>
        <w:rPr>
          <w:sz w:val="18"/>
          <w:szCs w:val="18"/>
        </w:rPr>
        <w:t>the</w:t>
      </w:r>
      <w:proofErr w:type="gramEnd"/>
      <w:r>
        <w:rPr>
          <w:sz w:val="18"/>
          <w:szCs w:val="18"/>
        </w:rPr>
        <w:t xml:space="preserve"> JSE will remove its REIT status;</w:t>
      </w:r>
    </w:p>
    <w:p w:rsidR="00BE07A8" w:rsidRDefault="00BE07A8" w:rsidP="00BE07A8">
      <w:pPr>
        <w:spacing w:line="360" w:lineRule="auto"/>
        <w:ind w:left="993"/>
        <w:rPr>
          <w:sz w:val="18"/>
          <w:szCs w:val="18"/>
        </w:rPr>
      </w:pPr>
      <w:r>
        <w:rPr>
          <w:sz w:val="18"/>
          <w:szCs w:val="18"/>
        </w:rPr>
        <w:t xml:space="preserve">(b) </w:t>
      </w:r>
      <w:proofErr w:type="gramStart"/>
      <w:r>
        <w:rPr>
          <w:sz w:val="18"/>
          <w:szCs w:val="18"/>
        </w:rPr>
        <w:t>it</w:t>
      </w:r>
      <w:proofErr w:type="gramEnd"/>
      <w:r>
        <w:rPr>
          <w:sz w:val="18"/>
          <w:szCs w:val="18"/>
        </w:rPr>
        <w:t xml:space="preserve"> must make an announcement advising the market of this fact; and</w:t>
      </w:r>
    </w:p>
    <w:p w:rsidR="00BE07A8" w:rsidRDefault="00BE07A8" w:rsidP="00BE07A8">
      <w:pPr>
        <w:spacing w:line="360" w:lineRule="auto"/>
        <w:ind w:left="993"/>
        <w:rPr>
          <w:sz w:val="18"/>
          <w:szCs w:val="18"/>
        </w:rPr>
      </w:pPr>
      <w:r>
        <w:rPr>
          <w:sz w:val="18"/>
          <w:szCs w:val="18"/>
        </w:rPr>
        <w:t xml:space="preserve">(c) </w:t>
      </w:r>
      <w:proofErr w:type="gramStart"/>
      <w:r>
        <w:rPr>
          <w:sz w:val="18"/>
          <w:szCs w:val="18"/>
        </w:rPr>
        <w:t>it</w:t>
      </w:r>
      <w:proofErr w:type="gramEnd"/>
      <w:r>
        <w:rPr>
          <w:sz w:val="18"/>
          <w:szCs w:val="18"/>
        </w:rPr>
        <w:t xml:space="preserve"> may make application any time to reapply to the JSE to receive a REIT status in terms of paragraph 13.48. </w:t>
      </w:r>
    </w:p>
    <w:p w:rsidR="00BE07A8" w:rsidRDefault="00BE07A8" w:rsidP="00BE07A8">
      <w:pPr>
        <w:spacing w:line="360" w:lineRule="auto"/>
        <w:ind w:left="426"/>
        <w:rPr>
          <w:b/>
          <w:sz w:val="18"/>
          <w:szCs w:val="18"/>
        </w:rPr>
      </w:pPr>
    </w:p>
    <w:p w:rsidR="00BE07A8" w:rsidRDefault="00BE07A8" w:rsidP="00BE07A8">
      <w:pPr>
        <w:spacing w:line="360" w:lineRule="auto"/>
        <w:ind w:left="426"/>
        <w:rPr>
          <w:b/>
          <w:sz w:val="18"/>
          <w:szCs w:val="18"/>
        </w:rPr>
      </w:pPr>
      <w:r>
        <w:rPr>
          <w:b/>
          <w:sz w:val="18"/>
          <w:szCs w:val="18"/>
        </w:rPr>
        <w:t>Application for removal of the REIT status</w:t>
      </w:r>
    </w:p>
    <w:p w:rsidR="00BE07A8" w:rsidRDefault="00BE07A8" w:rsidP="00BE07A8">
      <w:pPr>
        <w:spacing w:line="360" w:lineRule="auto"/>
        <w:ind w:left="1134" w:hanging="708"/>
        <w:jc w:val="both"/>
        <w:rPr>
          <w:sz w:val="18"/>
          <w:szCs w:val="18"/>
        </w:rPr>
      </w:pPr>
      <w:r>
        <w:rPr>
          <w:sz w:val="18"/>
          <w:szCs w:val="18"/>
        </w:rPr>
        <w:t>13.54</w:t>
      </w:r>
      <w:r>
        <w:rPr>
          <w:sz w:val="18"/>
          <w:szCs w:val="18"/>
        </w:rPr>
        <w:tab/>
        <w:t>An issuer who has received a REIT status may at any time make application to the JSE to have this status removed. An announcement must be made, advising the market of this fact, as soon as:</w:t>
      </w:r>
    </w:p>
    <w:p w:rsidR="00BE07A8" w:rsidRDefault="00BE07A8" w:rsidP="00BE07A8">
      <w:pPr>
        <w:spacing w:line="360" w:lineRule="auto"/>
        <w:ind w:left="1134"/>
        <w:jc w:val="both"/>
        <w:rPr>
          <w:sz w:val="18"/>
          <w:szCs w:val="18"/>
        </w:rPr>
      </w:pPr>
      <w:r>
        <w:rPr>
          <w:sz w:val="18"/>
          <w:szCs w:val="18"/>
        </w:rPr>
        <w:t xml:space="preserve">(a) </w:t>
      </w:r>
      <w:proofErr w:type="gramStart"/>
      <w:r>
        <w:rPr>
          <w:sz w:val="18"/>
          <w:szCs w:val="18"/>
        </w:rPr>
        <w:t>the</w:t>
      </w:r>
      <w:proofErr w:type="gramEnd"/>
      <w:r>
        <w:rPr>
          <w:sz w:val="18"/>
          <w:szCs w:val="18"/>
        </w:rPr>
        <w:t xml:space="preserve"> board of directors has taken the decision to make such an application, stating the reasons for this decision; and </w:t>
      </w:r>
    </w:p>
    <w:p w:rsidR="00BE07A8" w:rsidRDefault="00BE07A8" w:rsidP="00BE07A8">
      <w:pPr>
        <w:spacing w:line="360" w:lineRule="auto"/>
        <w:ind w:left="1134"/>
        <w:jc w:val="both"/>
        <w:rPr>
          <w:sz w:val="18"/>
          <w:szCs w:val="18"/>
        </w:rPr>
      </w:pPr>
      <w:r>
        <w:rPr>
          <w:sz w:val="18"/>
          <w:szCs w:val="18"/>
        </w:rPr>
        <w:t xml:space="preserve">(b) </w:t>
      </w:r>
      <w:proofErr w:type="gramStart"/>
      <w:r>
        <w:rPr>
          <w:sz w:val="18"/>
          <w:szCs w:val="18"/>
        </w:rPr>
        <w:t>then</w:t>
      </w:r>
      <w:proofErr w:type="gramEnd"/>
      <w:r>
        <w:rPr>
          <w:sz w:val="18"/>
          <w:szCs w:val="18"/>
        </w:rPr>
        <w:t xml:space="preserve"> again once the application has been processed by the JSE .</w:t>
      </w:r>
    </w:p>
    <w:p w:rsidR="00BE07A8" w:rsidRDefault="00BE07A8" w:rsidP="00BE07A8">
      <w:pPr>
        <w:spacing w:line="360" w:lineRule="auto"/>
        <w:ind w:left="426"/>
        <w:jc w:val="both"/>
        <w:rPr>
          <w:b/>
          <w:sz w:val="18"/>
          <w:szCs w:val="18"/>
        </w:rPr>
      </w:pPr>
    </w:p>
    <w:p w:rsidR="00BE07A8" w:rsidRDefault="00BE07A8" w:rsidP="00BE07A8">
      <w:pPr>
        <w:spacing w:line="360" w:lineRule="auto"/>
        <w:ind w:left="426"/>
        <w:jc w:val="both"/>
        <w:rPr>
          <w:b/>
          <w:sz w:val="18"/>
          <w:szCs w:val="18"/>
        </w:rPr>
      </w:pPr>
      <w:r>
        <w:rPr>
          <w:b/>
          <w:sz w:val="18"/>
          <w:szCs w:val="18"/>
        </w:rPr>
        <w:t>Applicability to CISIP’s</w:t>
      </w:r>
    </w:p>
    <w:p w:rsidR="00BE07A8" w:rsidRDefault="00BE07A8" w:rsidP="00BE07A8">
      <w:pPr>
        <w:spacing w:line="360" w:lineRule="auto"/>
        <w:ind w:left="1134" w:hanging="708"/>
        <w:jc w:val="both"/>
        <w:rPr>
          <w:sz w:val="18"/>
          <w:szCs w:val="18"/>
        </w:rPr>
      </w:pPr>
      <w:r>
        <w:rPr>
          <w:sz w:val="18"/>
          <w:szCs w:val="18"/>
        </w:rPr>
        <w:t xml:space="preserve">13.55 </w:t>
      </w:r>
      <w:r>
        <w:rPr>
          <w:sz w:val="18"/>
          <w:szCs w:val="18"/>
        </w:rPr>
        <w:tab/>
        <w:t xml:space="preserve">A CISIP is eligible to receive a REIT status. To receive a REIT status, a CISIP must make application to the JSE, which applications must be signed by the trustees of the CISIP, the directors of the management </w:t>
      </w:r>
      <w:proofErr w:type="gramStart"/>
      <w:r>
        <w:rPr>
          <w:sz w:val="18"/>
          <w:szCs w:val="18"/>
        </w:rPr>
        <w:t>company  and</w:t>
      </w:r>
      <w:proofErr w:type="gramEnd"/>
      <w:r>
        <w:rPr>
          <w:sz w:val="18"/>
          <w:szCs w:val="18"/>
        </w:rPr>
        <w:t xml:space="preserve"> the sponsor/ designated advisor and must:</w:t>
      </w:r>
    </w:p>
    <w:p w:rsidR="00BE07A8" w:rsidRDefault="00BE07A8" w:rsidP="00BE07A8">
      <w:pPr>
        <w:spacing w:line="360" w:lineRule="auto"/>
        <w:ind w:left="1134" w:hanging="283"/>
        <w:rPr>
          <w:sz w:val="18"/>
          <w:szCs w:val="18"/>
        </w:rPr>
      </w:pPr>
      <w:r>
        <w:rPr>
          <w:sz w:val="18"/>
          <w:szCs w:val="18"/>
        </w:rPr>
        <w:tab/>
        <w:t xml:space="preserve">(a) </w:t>
      </w:r>
      <w:proofErr w:type="gramStart"/>
      <w:r>
        <w:rPr>
          <w:sz w:val="18"/>
          <w:szCs w:val="18"/>
        </w:rPr>
        <w:t>provide</w:t>
      </w:r>
      <w:proofErr w:type="gramEnd"/>
      <w:r>
        <w:rPr>
          <w:sz w:val="18"/>
          <w:szCs w:val="18"/>
        </w:rPr>
        <w:t xml:space="preserve"> evidence of compliance with paragraphs 13.46(b) to (e) above;</w:t>
      </w:r>
    </w:p>
    <w:p w:rsidR="00BE07A8" w:rsidRDefault="00BE07A8" w:rsidP="00BE07A8">
      <w:pPr>
        <w:spacing w:line="360" w:lineRule="auto"/>
        <w:ind w:left="1418" w:hanging="284"/>
        <w:rPr>
          <w:sz w:val="18"/>
          <w:szCs w:val="18"/>
        </w:rPr>
      </w:pPr>
      <w:r>
        <w:rPr>
          <w:sz w:val="18"/>
          <w:szCs w:val="18"/>
        </w:rPr>
        <w:t xml:space="preserve">(b) </w:t>
      </w:r>
      <w:proofErr w:type="gramStart"/>
      <w:r>
        <w:rPr>
          <w:sz w:val="18"/>
          <w:szCs w:val="18"/>
        </w:rPr>
        <w:t>provide</w:t>
      </w:r>
      <w:proofErr w:type="gramEnd"/>
      <w:r>
        <w:rPr>
          <w:sz w:val="18"/>
          <w:szCs w:val="18"/>
        </w:rPr>
        <w:t xml:space="preserve"> evidence of registration from the CIS Registrar ; and</w:t>
      </w:r>
    </w:p>
    <w:p w:rsidR="00BE07A8" w:rsidRDefault="00BE07A8" w:rsidP="00BE07A8">
      <w:pPr>
        <w:spacing w:line="360" w:lineRule="auto"/>
        <w:ind w:left="1134" w:hanging="283"/>
        <w:rPr>
          <w:sz w:val="18"/>
          <w:szCs w:val="18"/>
        </w:rPr>
      </w:pPr>
      <w:r>
        <w:rPr>
          <w:sz w:val="18"/>
          <w:szCs w:val="18"/>
        </w:rPr>
        <w:tab/>
        <w:t xml:space="preserve">(c) </w:t>
      </w:r>
      <w:proofErr w:type="gramStart"/>
      <w:r>
        <w:rPr>
          <w:sz w:val="18"/>
          <w:szCs w:val="18"/>
        </w:rPr>
        <w:t>confirm</w:t>
      </w:r>
      <w:proofErr w:type="gramEnd"/>
      <w:r>
        <w:rPr>
          <w:sz w:val="18"/>
          <w:szCs w:val="18"/>
        </w:rPr>
        <w:t xml:space="preserve"> that their Deed has been approved by the CIS Registrar. </w:t>
      </w:r>
    </w:p>
    <w:p w:rsidR="00BE07A8" w:rsidRDefault="00BE07A8" w:rsidP="00BE07A8">
      <w:pPr>
        <w:spacing w:line="360" w:lineRule="auto"/>
        <w:ind w:left="1134" w:hanging="708"/>
        <w:rPr>
          <w:sz w:val="18"/>
          <w:szCs w:val="18"/>
        </w:rPr>
      </w:pPr>
      <w:r>
        <w:rPr>
          <w:sz w:val="18"/>
          <w:szCs w:val="18"/>
        </w:rPr>
        <w:t xml:space="preserve">13.56 </w:t>
      </w:r>
      <w:r>
        <w:rPr>
          <w:sz w:val="18"/>
          <w:szCs w:val="18"/>
        </w:rPr>
        <w:tab/>
        <w:t>In every announcement that a REIT makes it must make reference to the fact that it has a REIT status with the JSE.</w:t>
      </w:r>
    </w:p>
    <w:p w:rsidR="00BE07A8" w:rsidRDefault="00BE07A8" w:rsidP="00BE07A8">
      <w:pPr>
        <w:spacing w:line="360" w:lineRule="auto"/>
        <w:ind w:left="1134" w:hanging="708"/>
        <w:rPr>
          <w:sz w:val="18"/>
          <w:szCs w:val="18"/>
        </w:rPr>
      </w:pPr>
      <w:r>
        <w:rPr>
          <w:sz w:val="18"/>
          <w:szCs w:val="18"/>
        </w:rPr>
        <w:t xml:space="preserve">13.57 </w:t>
      </w:r>
      <w:r>
        <w:rPr>
          <w:sz w:val="18"/>
          <w:szCs w:val="18"/>
        </w:rPr>
        <w:tab/>
        <w:t>An issuer with a REIT status must keep the market informed regarding its status. In this regard the issuer must release an announcement containing full details of the implications thereof for the issuer and its shareholders, without delay, if it:</w:t>
      </w:r>
    </w:p>
    <w:p w:rsidR="00BE07A8" w:rsidRDefault="00BE07A8" w:rsidP="00BE07A8">
      <w:pPr>
        <w:spacing w:line="360" w:lineRule="auto"/>
        <w:ind w:left="1418" w:hanging="284"/>
        <w:rPr>
          <w:sz w:val="18"/>
          <w:szCs w:val="18"/>
        </w:rPr>
      </w:pPr>
      <w:r>
        <w:rPr>
          <w:sz w:val="18"/>
          <w:szCs w:val="18"/>
        </w:rPr>
        <w:t>(</w:t>
      </w:r>
      <w:proofErr w:type="spellStart"/>
      <w:r>
        <w:rPr>
          <w:sz w:val="18"/>
          <w:szCs w:val="18"/>
        </w:rPr>
        <w:t>i</w:t>
      </w:r>
      <w:proofErr w:type="spellEnd"/>
      <w:r>
        <w:rPr>
          <w:sz w:val="18"/>
          <w:szCs w:val="18"/>
        </w:rPr>
        <w:t xml:space="preserve">) </w:t>
      </w:r>
      <w:proofErr w:type="gramStart"/>
      <w:r>
        <w:rPr>
          <w:sz w:val="18"/>
          <w:szCs w:val="18"/>
        </w:rPr>
        <w:t>fails</w:t>
      </w:r>
      <w:proofErr w:type="gramEnd"/>
      <w:r>
        <w:rPr>
          <w:sz w:val="18"/>
          <w:szCs w:val="18"/>
        </w:rPr>
        <w:t xml:space="preserve"> the REIT tax test or believes that it will not qualify for a tax deduction of distributions under section 25BB(2) of the Tax Act;</w:t>
      </w:r>
    </w:p>
    <w:p w:rsidR="00BE07A8" w:rsidRDefault="00BE07A8" w:rsidP="00BE07A8">
      <w:pPr>
        <w:spacing w:line="360" w:lineRule="auto"/>
        <w:ind w:left="1418" w:hanging="284"/>
        <w:rPr>
          <w:sz w:val="18"/>
          <w:szCs w:val="18"/>
        </w:rPr>
      </w:pPr>
      <w:r>
        <w:rPr>
          <w:sz w:val="18"/>
          <w:szCs w:val="18"/>
        </w:rPr>
        <w:t xml:space="preserve">(ii) </w:t>
      </w:r>
      <w:proofErr w:type="gramStart"/>
      <w:r>
        <w:rPr>
          <w:sz w:val="18"/>
          <w:szCs w:val="18"/>
        </w:rPr>
        <w:t>has</w:t>
      </w:r>
      <w:proofErr w:type="gramEnd"/>
      <w:r>
        <w:rPr>
          <w:sz w:val="18"/>
          <w:szCs w:val="18"/>
        </w:rPr>
        <w:t xml:space="preserve"> breached the provisions of its Deed; or</w:t>
      </w:r>
    </w:p>
    <w:p w:rsidR="00BE07A8" w:rsidRDefault="00BE07A8" w:rsidP="00BE07A8">
      <w:pPr>
        <w:spacing w:line="360" w:lineRule="auto"/>
        <w:ind w:left="1418" w:hanging="284"/>
        <w:rPr>
          <w:sz w:val="18"/>
          <w:szCs w:val="18"/>
        </w:rPr>
      </w:pPr>
      <w:r>
        <w:rPr>
          <w:sz w:val="18"/>
          <w:szCs w:val="18"/>
        </w:rPr>
        <w:t xml:space="preserve">(iii) </w:t>
      </w:r>
      <w:proofErr w:type="gramStart"/>
      <w:r>
        <w:rPr>
          <w:sz w:val="18"/>
          <w:szCs w:val="18"/>
        </w:rPr>
        <w:t>has</w:t>
      </w:r>
      <w:proofErr w:type="gramEnd"/>
      <w:r>
        <w:rPr>
          <w:sz w:val="18"/>
          <w:szCs w:val="18"/>
        </w:rPr>
        <w:t xml:space="preserve"> breached the provisions of the CISCA. </w:t>
      </w:r>
    </w:p>
    <w:p w:rsidR="00BE07A8" w:rsidRDefault="00BE07A8" w:rsidP="00BE07A8">
      <w:pPr>
        <w:spacing w:line="360" w:lineRule="auto"/>
      </w:pPr>
    </w:p>
    <w:p w:rsidR="00BE07A8" w:rsidRDefault="00BE07A8" w:rsidP="00BE07A8">
      <w:pPr>
        <w:spacing w:line="360" w:lineRule="auto"/>
        <w:ind w:left="426"/>
        <w:rPr>
          <w:b/>
          <w:sz w:val="18"/>
          <w:szCs w:val="18"/>
        </w:rPr>
      </w:pPr>
      <w:r>
        <w:rPr>
          <w:b/>
          <w:sz w:val="18"/>
          <w:szCs w:val="18"/>
        </w:rPr>
        <w:t>Transitional provisions</w:t>
      </w:r>
    </w:p>
    <w:p w:rsidR="00BE07A8" w:rsidRDefault="00BE07A8" w:rsidP="00BE07A8">
      <w:pPr>
        <w:spacing w:line="360" w:lineRule="auto"/>
        <w:ind w:left="1134" w:hanging="708"/>
        <w:rPr>
          <w:sz w:val="18"/>
          <w:szCs w:val="18"/>
        </w:rPr>
      </w:pPr>
      <w:r>
        <w:rPr>
          <w:sz w:val="18"/>
          <w:szCs w:val="18"/>
        </w:rPr>
        <w:t xml:space="preserve">13.58 </w:t>
      </w:r>
      <w:r>
        <w:rPr>
          <w:sz w:val="18"/>
          <w:szCs w:val="18"/>
        </w:rPr>
        <w:tab/>
        <w:t>The following transitional provisions are applicable:</w:t>
      </w:r>
    </w:p>
    <w:p w:rsidR="00BE07A8" w:rsidRDefault="00BE07A8" w:rsidP="00BE07A8">
      <w:pPr>
        <w:tabs>
          <w:tab w:val="left" w:pos="-142"/>
        </w:tabs>
        <w:spacing w:line="360" w:lineRule="auto"/>
        <w:ind w:left="1418" w:hanging="284"/>
        <w:rPr>
          <w:sz w:val="18"/>
          <w:szCs w:val="18"/>
        </w:rPr>
      </w:pPr>
      <w:r>
        <w:rPr>
          <w:sz w:val="18"/>
          <w:szCs w:val="18"/>
        </w:rPr>
        <w:t xml:space="preserve">(a) </w:t>
      </w:r>
      <w:proofErr w:type="gramStart"/>
      <w:r>
        <w:rPr>
          <w:sz w:val="18"/>
          <w:szCs w:val="18"/>
        </w:rPr>
        <w:t>the</w:t>
      </w:r>
      <w:proofErr w:type="gramEnd"/>
      <w:r>
        <w:rPr>
          <w:sz w:val="18"/>
          <w:szCs w:val="18"/>
        </w:rPr>
        <w:t xml:space="preserve"> following issuers are eligible to make application to receive a REIT status under these transitional provisions;</w:t>
      </w:r>
    </w:p>
    <w:p w:rsidR="00BE07A8" w:rsidRDefault="00BE07A8" w:rsidP="00BE07A8">
      <w:pPr>
        <w:tabs>
          <w:tab w:val="left" w:pos="-142"/>
        </w:tabs>
        <w:spacing w:line="360" w:lineRule="auto"/>
        <w:ind w:left="1418" w:hanging="284"/>
        <w:rPr>
          <w:sz w:val="18"/>
          <w:szCs w:val="18"/>
        </w:rPr>
      </w:pPr>
      <w:r>
        <w:rPr>
          <w:sz w:val="18"/>
          <w:szCs w:val="18"/>
        </w:rPr>
        <w:t>(</w:t>
      </w:r>
      <w:proofErr w:type="spellStart"/>
      <w:r>
        <w:rPr>
          <w:sz w:val="18"/>
          <w:szCs w:val="18"/>
        </w:rPr>
        <w:t>i</w:t>
      </w:r>
      <w:proofErr w:type="spellEnd"/>
      <w:r>
        <w:rPr>
          <w:sz w:val="18"/>
          <w:szCs w:val="18"/>
        </w:rPr>
        <w:t xml:space="preserve">) </w:t>
      </w:r>
      <w:proofErr w:type="gramStart"/>
      <w:r>
        <w:rPr>
          <w:sz w:val="18"/>
          <w:szCs w:val="18"/>
        </w:rPr>
        <w:t>they</w:t>
      </w:r>
      <w:proofErr w:type="gramEnd"/>
      <w:r>
        <w:rPr>
          <w:sz w:val="18"/>
          <w:szCs w:val="18"/>
        </w:rPr>
        <w:t xml:space="preserve"> were listed on the JSE prior to 30 November 2012: and</w:t>
      </w:r>
    </w:p>
    <w:p w:rsidR="00BE07A8" w:rsidRDefault="00BE07A8" w:rsidP="00BE07A8">
      <w:pPr>
        <w:tabs>
          <w:tab w:val="left" w:pos="-567"/>
        </w:tabs>
        <w:spacing w:line="360" w:lineRule="auto"/>
        <w:ind w:left="1418" w:hanging="283"/>
        <w:rPr>
          <w:sz w:val="18"/>
          <w:szCs w:val="18"/>
        </w:rPr>
      </w:pPr>
      <w:r>
        <w:rPr>
          <w:sz w:val="18"/>
          <w:szCs w:val="18"/>
        </w:rPr>
        <w:t xml:space="preserve">(ii) </w:t>
      </w:r>
      <w:proofErr w:type="gramStart"/>
      <w:r>
        <w:rPr>
          <w:sz w:val="18"/>
          <w:szCs w:val="18"/>
        </w:rPr>
        <w:t>at</w:t>
      </w:r>
      <w:proofErr w:type="gramEnd"/>
      <w:r>
        <w:rPr>
          <w:sz w:val="18"/>
          <w:szCs w:val="18"/>
        </w:rPr>
        <w:t xml:space="preserve"> that time  they were listed on the Main Board of the JSE in the real estate sector and had listed securities comprising of an ordinary share linked to a debenture, and which securities trade as a linked unit; </w:t>
      </w:r>
    </w:p>
    <w:p w:rsidR="00BE07A8" w:rsidRDefault="00BE07A8" w:rsidP="00BE07A8">
      <w:pPr>
        <w:spacing w:line="360" w:lineRule="auto"/>
        <w:ind w:left="1134" w:hanging="283"/>
        <w:rPr>
          <w:sz w:val="18"/>
          <w:szCs w:val="18"/>
        </w:rPr>
      </w:pPr>
      <w:r>
        <w:rPr>
          <w:sz w:val="18"/>
          <w:szCs w:val="18"/>
        </w:rPr>
        <w:t xml:space="preserve">(b) </w:t>
      </w:r>
      <w:proofErr w:type="gramStart"/>
      <w:r>
        <w:rPr>
          <w:sz w:val="18"/>
          <w:szCs w:val="18"/>
        </w:rPr>
        <w:t>all</w:t>
      </w:r>
      <w:proofErr w:type="gramEnd"/>
      <w:r>
        <w:rPr>
          <w:sz w:val="18"/>
          <w:szCs w:val="18"/>
        </w:rPr>
        <w:t xml:space="preserve"> issuers referred to in paragraph 13.61(a) above must make application to the JSE, by no later than 1 June 2013, to receive a REIT status under these transitional provisions; </w:t>
      </w:r>
    </w:p>
    <w:p w:rsidR="00BE07A8" w:rsidRDefault="00BE07A8" w:rsidP="00BE07A8">
      <w:pPr>
        <w:spacing w:line="360" w:lineRule="auto"/>
        <w:ind w:left="1134" w:hanging="283"/>
        <w:rPr>
          <w:sz w:val="18"/>
          <w:szCs w:val="18"/>
        </w:rPr>
      </w:pPr>
      <w:r>
        <w:rPr>
          <w:sz w:val="18"/>
          <w:szCs w:val="18"/>
        </w:rPr>
        <w:t xml:space="preserve">(c) </w:t>
      </w:r>
      <w:proofErr w:type="gramStart"/>
      <w:r>
        <w:rPr>
          <w:sz w:val="18"/>
          <w:szCs w:val="18"/>
        </w:rPr>
        <w:t>the</w:t>
      </w:r>
      <w:proofErr w:type="gramEnd"/>
      <w:r>
        <w:rPr>
          <w:sz w:val="18"/>
          <w:szCs w:val="18"/>
        </w:rPr>
        <w:t xml:space="preserve"> application letter must be signed by the company secretary and each of the directors of the issuer as well as the sponsor/designated advisor  and must contain:</w:t>
      </w:r>
    </w:p>
    <w:p w:rsidR="00BE07A8" w:rsidRDefault="00BE07A8" w:rsidP="00BE07A8">
      <w:pPr>
        <w:tabs>
          <w:tab w:val="left" w:pos="1560"/>
        </w:tabs>
        <w:spacing w:line="360" w:lineRule="auto"/>
        <w:ind w:left="1418" w:hanging="284"/>
        <w:rPr>
          <w:sz w:val="18"/>
          <w:szCs w:val="18"/>
        </w:rPr>
      </w:pPr>
      <w:r>
        <w:rPr>
          <w:sz w:val="18"/>
          <w:szCs w:val="18"/>
        </w:rPr>
        <w:t>(</w:t>
      </w:r>
      <w:proofErr w:type="spellStart"/>
      <w:r>
        <w:rPr>
          <w:sz w:val="18"/>
          <w:szCs w:val="18"/>
        </w:rPr>
        <w:t>i</w:t>
      </w:r>
      <w:proofErr w:type="spellEnd"/>
      <w:r>
        <w:rPr>
          <w:sz w:val="18"/>
          <w:szCs w:val="18"/>
        </w:rPr>
        <w:t xml:space="preserve">) </w:t>
      </w:r>
      <w:proofErr w:type="gramStart"/>
      <w:r>
        <w:rPr>
          <w:sz w:val="18"/>
          <w:szCs w:val="18"/>
        </w:rPr>
        <w:t>an</w:t>
      </w:r>
      <w:proofErr w:type="gramEnd"/>
      <w:r>
        <w:rPr>
          <w:sz w:val="18"/>
          <w:szCs w:val="18"/>
        </w:rPr>
        <w:t xml:space="preserve"> undertaking that the MOI of the company will be amended in line with paragraph 13.47 Listings Requirements by no later than 31 December 2013: </w:t>
      </w:r>
    </w:p>
    <w:p w:rsidR="00BE07A8" w:rsidRDefault="00BE07A8" w:rsidP="00BE07A8">
      <w:pPr>
        <w:tabs>
          <w:tab w:val="left" w:pos="1560"/>
        </w:tabs>
        <w:spacing w:line="360" w:lineRule="auto"/>
        <w:ind w:left="1418" w:hanging="284"/>
        <w:rPr>
          <w:sz w:val="18"/>
          <w:szCs w:val="18"/>
        </w:rPr>
      </w:pPr>
      <w:r>
        <w:rPr>
          <w:sz w:val="18"/>
          <w:szCs w:val="18"/>
        </w:rPr>
        <w:t xml:space="preserve">(ii) </w:t>
      </w:r>
      <w:proofErr w:type="gramStart"/>
      <w:r>
        <w:rPr>
          <w:sz w:val="18"/>
          <w:szCs w:val="18"/>
        </w:rPr>
        <w:t>an</w:t>
      </w:r>
      <w:proofErr w:type="gramEnd"/>
      <w:r>
        <w:rPr>
          <w:sz w:val="18"/>
          <w:szCs w:val="18"/>
        </w:rPr>
        <w:t xml:space="preserve"> undertaking that the company will comply with the provisions of paragraph 13.47 even though the MOI has not been updated; </w:t>
      </w:r>
    </w:p>
    <w:p w:rsidR="00BE07A8" w:rsidRDefault="00BE07A8" w:rsidP="00BE07A8">
      <w:pPr>
        <w:pStyle w:val="ListParagraph"/>
        <w:numPr>
          <w:ilvl w:val="0"/>
          <w:numId w:val="11"/>
        </w:numPr>
        <w:tabs>
          <w:tab w:val="left" w:pos="1418"/>
        </w:tabs>
        <w:spacing w:line="360" w:lineRule="auto"/>
        <w:ind w:left="1418" w:hanging="284"/>
        <w:rPr>
          <w:sz w:val="18"/>
          <w:szCs w:val="18"/>
        </w:rPr>
      </w:pPr>
      <w:r>
        <w:rPr>
          <w:sz w:val="18"/>
          <w:szCs w:val="18"/>
        </w:rPr>
        <w:t>a statement of confirmation by the directors that the issuer will , to the best of their knowledge (after making all reasonable enquiries to ascertain such facts),qualify for a tax deduction of distributions under section 25BB(2) of the Tax Act for its first financial year commencing on or after 1 April 2013 ; and</w:t>
      </w:r>
    </w:p>
    <w:p w:rsidR="00BE07A8" w:rsidRDefault="00BE07A8" w:rsidP="00BE07A8">
      <w:pPr>
        <w:pStyle w:val="ListParagraph"/>
        <w:tabs>
          <w:tab w:val="left" w:pos="1418"/>
        </w:tabs>
        <w:spacing w:line="360" w:lineRule="auto"/>
        <w:ind w:left="1418" w:hanging="284"/>
        <w:rPr>
          <w:sz w:val="18"/>
          <w:szCs w:val="18"/>
        </w:rPr>
      </w:pPr>
      <w:r>
        <w:rPr>
          <w:sz w:val="18"/>
          <w:szCs w:val="18"/>
        </w:rPr>
        <w:t xml:space="preserve">(iv) </w:t>
      </w:r>
      <w:r>
        <w:rPr>
          <w:sz w:val="18"/>
          <w:szCs w:val="18"/>
        </w:rPr>
        <w:tab/>
      </w:r>
      <w:proofErr w:type="gramStart"/>
      <w:r>
        <w:rPr>
          <w:sz w:val="18"/>
          <w:szCs w:val="18"/>
        </w:rPr>
        <w:t>confirmation</w:t>
      </w:r>
      <w:proofErr w:type="gramEnd"/>
      <w:r>
        <w:rPr>
          <w:sz w:val="18"/>
          <w:szCs w:val="18"/>
        </w:rPr>
        <w:t xml:space="preserve"> and evidence of compliance with paragraph 13.46; </w:t>
      </w:r>
    </w:p>
    <w:p w:rsidR="00BE07A8" w:rsidRDefault="00BE07A8" w:rsidP="00BE07A8">
      <w:pPr>
        <w:spacing w:line="360" w:lineRule="auto"/>
        <w:ind w:left="1134" w:hanging="283"/>
        <w:rPr>
          <w:sz w:val="18"/>
          <w:szCs w:val="18"/>
        </w:rPr>
      </w:pPr>
      <w:r>
        <w:rPr>
          <w:sz w:val="18"/>
          <w:szCs w:val="18"/>
        </w:rPr>
        <w:t xml:space="preserve">(d) </w:t>
      </w:r>
      <w:proofErr w:type="gramStart"/>
      <w:r>
        <w:rPr>
          <w:sz w:val="18"/>
          <w:szCs w:val="18"/>
        </w:rPr>
        <w:t>an</w:t>
      </w:r>
      <w:proofErr w:type="gramEnd"/>
      <w:r>
        <w:rPr>
          <w:sz w:val="18"/>
          <w:szCs w:val="18"/>
        </w:rPr>
        <w:t xml:space="preserve"> issuer that makes application to the JSE and meets the requirements set out in this transitional paragraph will receive a REIT status even though they may not necessarily meet all the criteria set out in paragraph 13.46; </w:t>
      </w:r>
    </w:p>
    <w:p w:rsidR="00BE07A8" w:rsidRDefault="00BE07A8" w:rsidP="00BE07A8">
      <w:pPr>
        <w:spacing w:line="360" w:lineRule="auto"/>
        <w:ind w:left="1134" w:hanging="283"/>
        <w:rPr>
          <w:sz w:val="18"/>
          <w:szCs w:val="18"/>
        </w:rPr>
      </w:pPr>
      <w:r>
        <w:rPr>
          <w:sz w:val="18"/>
          <w:szCs w:val="18"/>
        </w:rPr>
        <w:t xml:space="preserve">(e) </w:t>
      </w:r>
      <w:proofErr w:type="gramStart"/>
      <w:r>
        <w:rPr>
          <w:sz w:val="18"/>
          <w:szCs w:val="18"/>
        </w:rPr>
        <w:t>issuers</w:t>
      </w:r>
      <w:proofErr w:type="gramEnd"/>
      <w:r>
        <w:rPr>
          <w:sz w:val="18"/>
          <w:szCs w:val="18"/>
        </w:rPr>
        <w:t xml:space="preserve"> who make the necessary application to the JSE and comply with the transitional provisions will, , receive a REIT status:</w:t>
      </w:r>
    </w:p>
    <w:p w:rsidR="00BE07A8" w:rsidRDefault="00BE07A8" w:rsidP="00BE07A8">
      <w:pPr>
        <w:spacing w:line="360" w:lineRule="auto"/>
        <w:ind w:left="1134"/>
        <w:rPr>
          <w:sz w:val="18"/>
          <w:szCs w:val="18"/>
        </w:rPr>
      </w:pPr>
      <w:r>
        <w:rPr>
          <w:sz w:val="18"/>
          <w:szCs w:val="18"/>
        </w:rPr>
        <w:t>(</w:t>
      </w:r>
      <w:proofErr w:type="spellStart"/>
      <w:r>
        <w:rPr>
          <w:sz w:val="18"/>
          <w:szCs w:val="18"/>
        </w:rPr>
        <w:t>i</w:t>
      </w:r>
      <w:proofErr w:type="spellEnd"/>
      <w:r>
        <w:rPr>
          <w:sz w:val="18"/>
          <w:szCs w:val="18"/>
        </w:rPr>
        <w:t xml:space="preserve">) </w:t>
      </w:r>
      <w:proofErr w:type="gramStart"/>
      <w:r>
        <w:rPr>
          <w:sz w:val="18"/>
          <w:szCs w:val="18"/>
        </w:rPr>
        <w:t>from</w:t>
      </w:r>
      <w:proofErr w:type="gramEnd"/>
      <w:r>
        <w:rPr>
          <w:sz w:val="18"/>
          <w:szCs w:val="18"/>
        </w:rPr>
        <w:t xml:space="preserve"> the commencement of their first financial year ending on or after 1 April;2013; or </w:t>
      </w:r>
    </w:p>
    <w:p w:rsidR="00BE07A8" w:rsidRDefault="00BE07A8" w:rsidP="00BE07A8">
      <w:pPr>
        <w:spacing w:line="360" w:lineRule="auto"/>
        <w:ind w:left="1134"/>
        <w:rPr>
          <w:sz w:val="18"/>
          <w:szCs w:val="18"/>
        </w:rPr>
      </w:pPr>
      <w:r>
        <w:rPr>
          <w:sz w:val="18"/>
          <w:szCs w:val="18"/>
        </w:rPr>
        <w:t>(ii) one month after they have made such application;</w:t>
      </w:r>
    </w:p>
    <w:p w:rsidR="00BE07A8" w:rsidRDefault="00BE07A8" w:rsidP="00BE07A8">
      <w:pPr>
        <w:spacing w:line="360" w:lineRule="auto"/>
        <w:ind w:left="1134"/>
        <w:rPr>
          <w:sz w:val="18"/>
          <w:szCs w:val="18"/>
        </w:rPr>
      </w:pPr>
      <w:proofErr w:type="gramStart"/>
      <w:r>
        <w:rPr>
          <w:sz w:val="18"/>
          <w:szCs w:val="18"/>
        </w:rPr>
        <w:t>whichever</w:t>
      </w:r>
      <w:proofErr w:type="gramEnd"/>
      <w:r>
        <w:rPr>
          <w:sz w:val="18"/>
          <w:szCs w:val="18"/>
        </w:rPr>
        <w:t xml:space="preserve"> is the later date and </w:t>
      </w:r>
    </w:p>
    <w:p w:rsidR="00BE07A8" w:rsidRDefault="00BE07A8" w:rsidP="00BE07A8">
      <w:pPr>
        <w:spacing w:line="360" w:lineRule="auto"/>
        <w:ind w:left="1134" w:hanging="283"/>
        <w:rPr>
          <w:sz w:val="18"/>
          <w:szCs w:val="18"/>
        </w:rPr>
      </w:pPr>
      <w:r>
        <w:rPr>
          <w:sz w:val="18"/>
          <w:szCs w:val="18"/>
        </w:rPr>
        <w:t xml:space="preserve">(f) </w:t>
      </w:r>
      <w:proofErr w:type="gramStart"/>
      <w:r>
        <w:rPr>
          <w:sz w:val="18"/>
          <w:szCs w:val="18"/>
        </w:rPr>
        <w:t>any</w:t>
      </w:r>
      <w:proofErr w:type="gramEnd"/>
      <w:r>
        <w:rPr>
          <w:sz w:val="18"/>
          <w:szCs w:val="18"/>
        </w:rPr>
        <w:t xml:space="preserve"> other property entity listed on the JSE which is not eligible to apply for the transitional provisions can make application to the JSE in terms of paragraph 13.46 to receive a REIT status.</w:t>
      </w:r>
    </w:p>
    <w:p w:rsidR="00BE07A8" w:rsidRDefault="00BE07A8" w:rsidP="00BE07A8">
      <w:pPr>
        <w:spacing w:line="360" w:lineRule="auto"/>
      </w:pPr>
    </w:p>
    <w:p w:rsidR="00BE07A8" w:rsidRDefault="00BE07A8" w:rsidP="00BE07A8">
      <w:pPr>
        <w:spacing w:line="360" w:lineRule="auto"/>
        <w:ind w:left="426"/>
        <w:jc w:val="both"/>
        <w:rPr>
          <w:b/>
          <w:sz w:val="18"/>
          <w:szCs w:val="18"/>
        </w:rPr>
      </w:pPr>
      <w:r>
        <w:rPr>
          <w:b/>
          <w:sz w:val="18"/>
          <w:szCs w:val="18"/>
        </w:rPr>
        <w:t>Applicable Fees</w:t>
      </w:r>
    </w:p>
    <w:p w:rsidR="00BE07A8" w:rsidRDefault="00BE07A8" w:rsidP="00BE07A8">
      <w:pPr>
        <w:spacing w:line="360" w:lineRule="auto"/>
        <w:rPr>
          <w:sz w:val="18"/>
          <w:szCs w:val="18"/>
        </w:rPr>
      </w:pPr>
    </w:p>
    <w:p w:rsidR="00BE07A8" w:rsidRDefault="00BE07A8" w:rsidP="00BE07A8">
      <w:pPr>
        <w:spacing w:line="360" w:lineRule="auto"/>
        <w:ind w:left="426"/>
        <w:rPr>
          <w:sz w:val="18"/>
          <w:szCs w:val="18"/>
        </w:rPr>
      </w:pPr>
      <w:r>
        <w:rPr>
          <w:sz w:val="18"/>
          <w:szCs w:val="18"/>
        </w:rPr>
        <w:t>These fees applicable to REITS will be contained in the document that sets out the listing and other fees payable by Issuers and will be as follows:</w:t>
      </w:r>
    </w:p>
    <w:p w:rsidR="00BE07A8" w:rsidRDefault="00BE07A8" w:rsidP="00BE07A8">
      <w:pPr>
        <w:spacing w:line="360" w:lineRule="auto"/>
        <w:ind w:left="426"/>
        <w:rPr>
          <w:sz w:val="18"/>
          <w:szCs w:val="18"/>
        </w:rPr>
      </w:pPr>
    </w:p>
    <w:p w:rsidR="00BE07A8" w:rsidRDefault="00BE07A8" w:rsidP="00BE07A8">
      <w:pPr>
        <w:spacing w:line="360" w:lineRule="auto"/>
        <w:ind w:left="426"/>
        <w:rPr>
          <w:sz w:val="18"/>
          <w:szCs w:val="18"/>
          <w:u w:val="single"/>
        </w:rPr>
      </w:pPr>
      <w:r>
        <w:rPr>
          <w:sz w:val="18"/>
          <w:szCs w:val="18"/>
          <w:u w:val="single"/>
        </w:rPr>
        <w:t>REITs</w:t>
      </w:r>
    </w:p>
    <w:p w:rsidR="00BE07A8" w:rsidRDefault="00BE07A8" w:rsidP="00BE07A8">
      <w:pPr>
        <w:spacing w:line="360" w:lineRule="auto"/>
        <w:ind w:left="426"/>
        <w:rPr>
          <w:sz w:val="18"/>
          <w:szCs w:val="18"/>
        </w:rPr>
      </w:pPr>
      <w:r>
        <w:rPr>
          <w:sz w:val="18"/>
          <w:szCs w:val="18"/>
        </w:rPr>
        <w:t>11 The following fees are payable by REIT’s in addition to the fees that are payable by all Applicant Issuers, set out above:</w:t>
      </w:r>
    </w:p>
    <w:p w:rsidR="00BE07A8" w:rsidRDefault="00BE07A8" w:rsidP="00BE07A8">
      <w:pPr>
        <w:spacing w:line="360" w:lineRule="auto"/>
        <w:ind w:left="851"/>
        <w:rPr>
          <w:sz w:val="18"/>
          <w:szCs w:val="18"/>
        </w:rPr>
      </w:pPr>
      <w:r>
        <w:rPr>
          <w:sz w:val="18"/>
          <w:szCs w:val="18"/>
        </w:rPr>
        <w:t xml:space="preserve">(a) An initial listing fee is of R12 000 is payable by an Applicant Issuer upon application for a REIT status </w:t>
      </w:r>
    </w:p>
    <w:p w:rsidR="00BE07A8" w:rsidRDefault="00BE07A8" w:rsidP="00BE07A8">
      <w:pPr>
        <w:spacing w:line="360" w:lineRule="auto"/>
        <w:ind w:left="851"/>
        <w:rPr>
          <w:sz w:val="18"/>
          <w:szCs w:val="18"/>
        </w:rPr>
      </w:pPr>
      <w:r>
        <w:rPr>
          <w:sz w:val="18"/>
          <w:szCs w:val="18"/>
        </w:rPr>
        <w:t>(b) An annual fee of R10 000 per annum, which will be charged on 1 January of each year</w:t>
      </w:r>
    </w:p>
    <w:p w:rsidR="00BE07A8" w:rsidRDefault="00BE07A8" w:rsidP="00BE07A8">
      <w:pPr>
        <w:spacing w:line="360" w:lineRule="auto"/>
        <w:ind w:left="851"/>
        <w:rPr>
          <w:sz w:val="18"/>
          <w:szCs w:val="18"/>
        </w:rPr>
      </w:pPr>
      <w:r>
        <w:rPr>
          <w:sz w:val="18"/>
          <w:szCs w:val="18"/>
        </w:rPr>
        <w:t>(c)</w:t>
      </w:r>
      <w:r w:rsidRPr="00823689">
        <w:rPr>
          <w:sz w:val="18"/>
          <w:szCs w:val="18"/>
        </w:rPr>
        <w:t xml:space="preserve"> </w:t>
      </w:r>
      <w:r>
        <w:rPr>
          <w:sz w:val="18"/>
          <w:szCs w:val="18"/>
        </w:rPr>
        <w:t>The following additional documentation fees on all circulars submitted for approval:</w:t>
      </w:r>
    </w:p>
    <w:p w:rsidR="00BE07A8" w:rsidRPr="0086119A" w:rsidRDefault="00BE07A8" w:rsidP="00BE07A8">
      <w:pPr>
        <w:spacing w:line="360" w:lineRule="auto"/>
        <w:ind w:left="851" w:firstLine="294"/>
        <w:rPr>
          <w:sz w:val="18"/>
          <w:szCs w:val="18"/>
        </w:rPr>
      </w:pPr>
      <w:r>
        <w:rPr>
          <w:sz w:val="18"/>
          <w:szCs w:val="18"/>
        </w:rPr>
        <w:t>(</w:t>
      </w:r>
      <w:proofErr w:type="spellStart"/>
      <w:r>
        <w:rPr>
          <w:sz w:val="18"/>
          <w:szCs w:val="18"/>
        </w:rPr>
        <w:t>i</w:t>
      </w:r>
      <w:proofErr w:type="spellEnd"/>
      <w:r>
        <w:rPr>
          <w:sz w:val="18"/>
          <w:szCs w:val="18"/>
        </w:rPr>
        <w:t xml:space="preserve">) R6 500 for each new listing;   </w:t>
      </w:r>
    </w:p>
    <w:p w:rsidR="00BE07A8" w:rsidRDefault="00BE07A8" w:rsidP="00BE07A8">
      <w:pPr>
        <w:spacing w:line="360" w:lineRule="auto"/>
        <w:ind w:left="851" w:firstLine="294"/>
        <w:rPr>
          <w:sz w:val="18"/>
          <w:szCs w:val="18"/>
        </w:rPr>
      </w:pPr>
      <w:r>
        <w:rPr>
          <w:sz w:val="18"/>
          <w:szCs w:val="18"/>
        </w:rPr>
        <w:t>(ii) R6 500 for each Category 1 transaction; and</w:t>
      </w:r>
    </w:p>
    <w:p w:rsidR="00BE07A8" w:rsidRDefault="00BE07A8" w:rsidP="00BE07A8">
      <w:pPr>
        <w:spacing w:line="360" w:lineRule="auto"/>
        <w:ind w:left="851" w:firstLine="294"/>
        <w:rPr>
          <w:sz w:val="18"/>
          <w:szCs w:val="18"/>
        </w:rPr>
      </w:pPr>
      <w:r>
        <w:rPr>
          <w:sz w:val="18"/>
          <w:szCs w:val="18"/>
        </w:rPr>
        <w:t>(iii) R2 500 for each related party transaction</w:t>
      </w:r>
    </w:p>
    <w:p w:rsidR="00BE07A8" w:rsidRDefault="00BE07A8" w:rsidP="00BE07A8">
      <w:pPr>
        <w:spacing w:line="360" w:lineRule="auto"/>
        <w:ind w:left="426" w:firstLine="294"/>
        <w:rPr>
          <w:sz w:val="18"/>
          <w:szCs w:val="18"/>
        </w:rPr>
      </w:pPr>
      <w:proofErr w:type="gramStart"/>
      <w:r>
        <w:rPr>
          <w:sz w:val="18"/>
          <w:szCs w:val="18"/>
        </w:rPr>
        <w:t>(d) An additional transitional fees</w:t>
      </w:r>
      <w:proofErr w:type="gramEnd"/>
      <w:r>
        <w:rPr>
          <w:sz w:val="18"/>
          <w:szCs w:val="18"/>
        </w:rPr>
        <w:t xml:space="preserve"> is payable by Issuers: </w:t>
      </w:r>
    </w:p>
    <w:p w:rsidR="00BE07A8" w:rsidRDefault="00BE07A8" w:rsidP="00BE07A8">
      <w:pPr>
        <w:spacing w:line="360" w:lineRule="auto"/>
        <w:ind w:left="1134"/>
        <w:rPr>
          <w:sz w:val="18"/>
          <w:szCs w:val="18"/>
        </w:rPr>
      </w:pPr>
      <w:r>
        <w:rPr>
          <w:sz w:val="18"/>
          <w:szCs w:val="18"/>
        </w:rPr>
        <w:t>(</w:t>
      </w:r>
      <w:proofErr w:type="spellStart"/>
      <w:r>
        <w:rPr>
          <w:sz w:val="18"/>
          <w:szCs w:val="18"/>
        </w:rPr>
        <w:t>i</w:t>
      </w:r>
      <w:proofErr w:type="spellEnd"/>
      <w:r>
        <w:rPr>
          <w:sz w:val="18"/>
          <w:szCs w:val="18"/>
        </w:rPr>
        <w:t xml:space="preserve">) </w:t>
      </w:r>
      <w:proofErr w:type="gramStart"/>
      <w:r>
        <w:rPr>
          <w:sz w:val="18"/>
          <w:szCs w:val="18"/>
        </w:rPr>
        <w:t>making</w:t>
      </w:r>
      <w:proofErr w:type="gramEnd"/>
      <w:r>
        <w:rPr>
          <w:sz w:val="18"/>
          <w:szCs w:val="18"/>
        </w:rPr>
        <w:t xml:space="preserve"> application under the transitional provisions as set out in paragraph 13.61 ;or</w:t>
      </w:r>
    </w:p>
    <w:p w:rsidR="00BE07A8" w:rsidRDefault="00BE07A8" w:rsidP="00BE07A8">
      <w:pPr>
        <w:spacing w:line="360" w:lineRule="auto"/>
        <w:ind w:left="1134"/>
        <w:rPr>
          <w:sz w:val="18"/>
          <w:szCs w:val="18"/>
        </w:rPr>
      </w:pPr>
      <w:r>
        <w:rPr>
          <w:sz w:val="18"/>
          <w:szCs w:val="18"/>
        </w:rPr>
        <w:t xml:space="preserve">(ii) </w:t>
      </w:r>
      <w:proofErr w:type="gramStart"/>
      <w:r>
        <w:rPr>
          <w:sz w:val="18"/>
          <w:szCs w:val="18"/>
        </w:rPr>
        <w:t>who</w:t>
      </w:r>
      <w:proofErr w:type="gramEnd"/>
      <w:r>
        <w:rPr>
          <w:sz w:val="18"/>
          <w:szCs w:val="18"/>
        </w:rPr>
        <w:t xml:space="preserve"> were CISIP’s listed on the JSE prior to 30 November 2012;</w:t>
      </w:r>
    </w:p>
    <w:p w:rsidR="00BE07A8" w:rsidRDefault="00BE07A8" w:rsidP="00BE07A8">
      <w:pPr>
        <w:spacing w:line="360" w:lineRule="auto"/>
        <w:ind w:left="720"/>
        <w:rPr>
          <w:sz w:val="18"/>
          <w:szCs w:val="18"/>
        </w:rPr>
      </w:pPr>
      <w:r>
        <w:rPr>
          <w:sz w:val="18"/>
          <w:szCs w:val="18"/>
        </w:rPr>
        <w:t xml:space="preserve">Which fee will be finalised next year but will be based on the principle of recovering the costs incurred by the JSE to develop and implement these Requirements. The costs will be recovered equally across all issuers. </w:t>
      </w:r>
    </w:p>
    <w:p w:rsidR="00D37BA6" w:rsidRDefault="008E3713"/>
    <w:sectPr w:rsidR="00D37BA6" w:rsidSect="00E04343">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713" w:rsidRDefault="008E3713" w:rsidP="00C500B9">
      <w:r>
        <w:separator/>
      </w:r>
    </w:p>
  </w:endnote>
  <w:endnote w:type="continuationSeparator" w:id="0">
    <w:p w:rsidR="008E3713" w:rsidRDefault="008E3713" w:rsidP="00C500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43" w:rsidRPr="00E04343" w:rsidRDefault="00BE07A8" w:rsidP="00E04343">
    <w:pPr>
      <w:pStyle w:val="Footer"/>
      <w:tabs>
        <w:tab w:val="clear" w:pos="4153"/>
        <w:tab w:val="clear" w:pos="8306"/>
        <w:tab w:val="left" w:pos="0"/>
        <w:tab w:val="center" w:pos="4819"/>
        <w:tab w:val="right" w:pos="9638"/>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713" w:rsidRDefault="008E3713" w:rsidP="00C500B9">
      <w:r>
        <w:separator/>
      </w:r>
    </w:p>
  </w:footnote>
  <w:footnote w:type="continuationSeparator" w:id="0">
    <w:p w:rsidR="008E3713" w:rsidRDefault="008E3713" w:rsidP="00C50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43" w:rsidRPr="00E04343" w:rsidRDefault="00BE07A8" w:rsidP="00E04343">
    <w:pPr>
      <w:pStyle w:val="Header"/>
      <w:tabs>
        <w:tab w:val="clear" w:pos="4153"/>
        <w:tab w:val="clear" w:pos="8306"/>
        <w:tab w:val="left" w:pos="0"/>
        <w:tab w:val="center" w:pos="4819"/>
        <w:tab w:val="right" w:pos="9638"/>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F26"/>
    <w:multiLevelType w:val="hybridMultilevel"/>
    <w:tmpl w:val="26C0EF50"/>
    <w:lvl w:ilvl="0" w:tplc="4A66BB68">
      <w:start w:val="3"/>
      <w:numFmt w:val="lowerRoman"/>
      <w:lvlText w:val="(%1)"/>
      <w:lvlJc w:val="left"/>
      <w:pPr>
        <w:ind w:left="2019" w:hanging="72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
    <w:nsid w:val="05FE04FD"/>
    <w:multiLevelType w:val="singleLevel"/>
    <w:tmpl w:val="9A1252B2"/>
    <w:lvl w:ilvl="0">
      <w:start w:val="1"/>
      <w:numFmt w:val="bullet"/>
      <w:lvlText w:val=""/>
      <w:lvlJc w:val="left"/>
      <w:pPr>
        <w:tabs>
          <w:tab w:val="num" w:pos="720"/>
        </w:tabs>
        <w:ind w:left="720" w:hanging="360"/>
      </w:pPr>
      <w:rPr>
        <w:rFonts w:ascii="Symbol" w:hAnsi="Symbol" w:cs="Courier New" w:hint="default"/>
        <w:color w:val="FF0000"/>
      </w:rPr>
    </w:lvl>
  </w:abstractNum>
  <w:abstractNum w:abstractNumId="2">
    <w:nsid w:val="1C3130D7"/>
    <w:multiLevelType w:val="hybridMultilevel"/>
    <w:tmpl w:val="D58E3E56"/>
    <w:lvl w:ilvl="0" w:tplc="DA046770">
      <w:start w:val="1"/>
      <w:numFmt w:val="lowerLetter"/>
      <w:lvlRestart w:val="0"/>
      <w:lvlText w:val="%1."/>
      <w:lvlJc w:val="left"/>
      <w:pPr>
        <w:tabs>
          <w:tab w:val="num" w:pos="1083"/>
        </w:tabs>
        <w:ind w:left="1083" w:hanging="363"/>
      </w:p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3">
    <w:nsid w:val="208D69B7"/>
    <w:multiLevelType w:val="singleLevel"/>
    <w:tmpl w:val="1248B9B8"/>
    <w:lvl w:ilvl="0">
      <w:start w:val="1"/>
      <w:numFmt w:val="bullet"/>
      <w:lvlRestart w:val="0"/>
      <w:lvlText w:null="1"/>
      <w:lvlJc w:val="left"/>
      <w:pPr>
        <w:tabs>
          <w:tab w:val="num" w:pos="720"/>
        </w:tabs>
        <w:ind w:left="720" w:hanging="363"/>
      </w:pPr>
      <w:rPr>
        <w:rFonts w:ascii="Courier New" w:hAnsi="Courier New" w:cs="Courier New" w:hint="default"/>
        <w:color w:val="auto"/>
      </w:rPr>
    </w:lvl>
  </w:abstractNum>
  <w:abstractNum w:abstractNumId="4">
    <w:nsid w:val="283545E5"/>
    <w:multiLevelType w:val="singleLevel"/>
    <w:tmpl w:val="FD2AC904"/>
    <w:lvl w:ilvl="0">
      <w:start w:val="1"/>
      <w:numFmt w:val="bullet"/>
      <w:lvlRestart w:val="0"/>
      <w:lvlText w:val=""/>
      <w:lvlJc w:val="left"/>
      <w:pPr>
        <w:tabs>
          <w:tab w:val="num" w:pos="1077"/>
        </w:tabs>
        <w:ind w:left="1077" w:hanging="363"/>
      </w:pPr>
      <w:rPr>
        <w:rFonts w:ascii="Wingdings" w:hAnsi="Wingdings" w:hint="default"/>
        <w:color w:val="auto"/>
      </w:rPr>
    </w:lvl>
  </w:abstractNum>
  <w:abstractNum w:abstractNumId="5">
    <w:nsid w:val="29EE5D08"/>
    <w:multiLevelType w:val="singleLevel"/>
    <w:tmpl w:val="57D4D3F0"/>
    <w:lvl w:ilvl="0">
      <w:start w:val="1"/>
      <w:numFmt w:val="bullet"/>
      <w:lvlText w:val=""/>
      <w:lvlJc w:val="left"/>
      <w:pPr>
        <w:tabs>
          <w:tab w:val="num" w:pos="720"/>
        </w:tabs>
        <w:ind w:left="720" w:hanging="360"/>
      </w:pPr>
      <w:rPr>
        <w:rFonts w:ascii="Symbol" w:hAnsi="Symbol" w:hint="default"/>
        <w:color w:val="FF0000"/>
      </w:rPr>
    </w:lvl>
  </w:abstractNum>
  <w:abstractNum w:abstractNumId="6">
    <w:nsid w:val="2A0D5EAE"/>
    <w:multiLevelType w:val="singleLevel"/>
    <w:tmpl w:val="A4EC9CFE"/>
    <w:lvl w:ilvl="0">
      <w:start w:val="1"/>
      <w:numFmt w:val="bullet"/>
      <w:lvlRestart w:val="0"/>
      <w:lvlText w:val="o"/>
      <w:lvlJc w:val="left"/>
      <w:pPr>
        <w:tabs>
          <w:tab w:val="num" w:pos="723"/>
        </w:tabs>
        <w:ind w:left="723" w:hanging="363"/>
      </w:pPr>
      <w:rPr>
        <w:rFonts w:ascii="Courier New" w:hAnsi="Courier New" w:cs="Courier New" w:hint="default"/>
        <w:color w:val="auto"/>
      </w:rPr>
    </w:lvl>
  </w:abstractNum>
  <w:abstractNum w:abstractNumId="7">
    <w:nsid w:val="2FF207B2"/>
    <w:multiLevelType w:val="singleLevel"/>
    <w:tmpl w:val="DD46774E"/>
    <w:lvl w:ilvl="0">
      <w:start w:val="1"/>
      <w:numFmt w:val="bullet"/>
      <w:lvlText w:val=""/>
      <w:lvlJc w:val="left"/>
      <w:pPr>
        <w:tabs>
          <w:tab w:val="num" w:pos="720"/>
        </w:tabs>
        <w:ind w:left="720" w:hanging="360"/>
      </w:pPr>
      <w:rPr>
        <w:rFonts w:ascii="Symbol" w:hAnsi="Symbol" w:hint="default"/>
        <w:color w:val="FF0000"/>
      </w:rPr>
    </w:lvl>
  </w:abstractNum>
  <w:abstractNum w:abstractNumId="8">
    <w:nsid w:val="3E645409"/>
    <w:multiLevelType w:val="singleLevel"/>
    <w:tmpl w:val="54FCA466"/>
    <w:lvl w:ilvl="0">
      <w:start w:val="1"/>
      <w:numFmt w:val="bullet"/>
      <w:lvlRestart w:val="0"/>
      <w:lvlText w:val=""/>
      <w:lvlJc w:val="left"/>
      <w:pPr>
        <w:tabs>
          <w:tab w:val="num" w:pos="720"/>
        </w:tabs>
        <w:ind w:left="720" w:hanging="363"/>
      </w:pPr>
      <w:rPr>
        <w:rFonts w:ascii="Wingdings" w:hAnsi="Wingdings" w:hint="default"/>
        <w:color w:val="auto"/>
      </w:rPr>
    </w:lvl>
  </w:abstractNum>
  <w:abstractNum w:abstractNumId="9">
    <w:nsid w:val="5C294911"/>
    <w:multiLevelType w:val="hybridMultilevel"/>
    <w:tmpl w:val="CE12487C"/>
    <w:lvl w:ilvl="0" w:tplc="D05E3958">
      <w:start w:val="1"/>
      <w:numFmt w:val="decimal"/>
      <w:lvlRestart w:val="0"/>
      <w:lvlText w:val="%1."/>
      <w:lvlJc w:val="left"/>
      <w:pPr>
        <w:tabs>
          <w:tab w:val="num" w:pos="720"/>
        </w:tabs>
        <w:ind w:left="720" w:hanging="36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9323B2"/>
    <w:multiLevelType w:val="hybridMultilevel"/>
    <w:tmpl w:val="CE12487C"/>
    <w:lvl w:ilvl="0" w:tplc="04090005">
      <w:start w:val="1"/>
      <w:numFmt w:val="bullet"/>
      <w:lvlText w:val=""/>
      <w:lvlJc w:val="left"/>
      <w:pPr>
        <w:tabs>
          <w:tab w:val="num" w:pos="717"/>
        </w:tabs>
        <w:ind w:left="717"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0"/>
  </w:num>
  <w:num w:numId="4">
    <w:abstractNumId w:val="3"/>
  </w:num>
  <w:num w:numId="5">
    <w:abstractNumId w:val="1"/>
  </w:num>
  <w:num w:numId="6">
    <w:abstractNumId w:val="8"/>
  </w:num>
  <w:num w:numId="7">
    <w:abstractNumId w:val="6"/>
  </w:num>
  <w:num w:numId="8">
    <w:abstractNumId w:val="5"/>
  </w:num>
  <w:num w:numId="9">
    <w:abstractNumId w:val="7"/>
  </w:num>
  <w:num w:numId="10">
    <w:abstractNumId w:val="4"/>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20"/>
  <w:characterSpacingControl w:val="doNotCompress"/>
  <w:footnotePr>
    <w:footnote w:id="-1"/>
    <w:footnote w:id="0"/>
  </w:footnotePr>
  <w:endnotePr>
    <w:endnote w:id="-1"/>
    <w:endnote w:id="0"/>
  </w:endnotePr>
  <w:compat/>
  <w:rsids>
    <w:rsidRoot w:val="00BE07A8"/>
    <w:rsid w:val="000D408A"/>
    <w:rsid w:val="001D4016"/>
    <w:rsid w:val="00216DDC"/>
    <w:rsid w:val="00220F65"/>
    <w:rsid w:val="00257304"/>
    <w:rsid w:val="0027409F"/>
    <w:rsid w:val="003340A1"/>
    <w:rsid w:val="00393499"/>
    <w:rsid w:val="003F2C84"/>
    <w:rsid w:val="00551219"/>
    <w:rsid w:val="0058558F"/>
    <w:rsid w:val="006926EF"/>
    <w:rsid w:val="006E1617"/>
    <w:rsid w:val="007019C0"/>
    <w:rsid w:val="007C6AA5"/>
    <w:rsid w:val="007E1FA1"/>
    <w:rsid w:val="008E3713"/>
    <w:rsid w:val="009D4D90"/>
    <w:rsid w:val="00A16BA0"/>
    <w:rsid w:val="00AD2CC1"/>
    <w:rsid w:val="00BA4463"/>
    <w:rsid w:val="00BE07A8"/>
    <w:rsid w:val="00C026FE"/>
    <w:rsid w:val="00C500B9"/>
    <w:rsid w:val="00D124B6"/>
    <w:rsid w:val="00DE6FD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DB"/>
    <w:pPr>
      <w:spacing w:after="0" w:line="240" w:lineRule="auto"/>
    </w:pPr>
    <w:rPr>
      <w:rFonts w:ascii="Arial" w:eastAsia="Times New Roman" w:hAnsi="Arial" w:cs="Arial"/>
      <w:sz w:val="20"/>
      <w:szCs w:val="24"/>
      <w:lang w:val="en-GB"/>
    </w:rPr>
  </w:style>
  <w:style w:type="paragraph" w:styleId="Heading1">
    <w:name w:val="heading 1"/>
    <w:basedOn w:val="Normal"/>
    <w:next w:val="Normal"/>
    <w:link w:val="Heading1Char"/>
    <w:qFormat/>
    <w:rsid w:val="00DE6FDB"/>
    <w:pPr>
      <w:keepNext/>
      <w:spacing w:before="240" w:after="60"/>
      <w:outlineLvl w:val="0"/>
    </w:pPr>
    <w:rPr>
      <w:b/>
      <w:bCs/>
      <w:kern w:val="32"/>
      <w:sz w:val="28"/>
      <w:szCs w:val="32"/>
    </w:rPr>
  </w:style>
  <w:style w:type="paragraph" w:styleId="Heading2">
    <w:name w:val="heading 2"/>
    <w:basedOn w:val="Normal"/>
    <w:next w:val="Normal"/>
    <w:link w:val="Heading2Char"/>
    <w:qFormat/>
    <w:rsid w:val="00DE6FDB"/>
    <w:pPr>
      <w:keepNext/>
      <w:spacing w:before="240" w:after="60"/>
      <w:outlineLvl w:val="1"/>
    </w:pPr>
    <w:rPr>
      <w:b/>
      <w:bCs/>
      <w:iCs/>
      <w:sz w:val="24"/>
      <w:szCs w:val="28"/>
    </w:rPr>
  </w:style>
  <w:style w:type="paragraph" w:styleId="Heading3">
    <w:name w:val="heading 3"/>
    <w:basedOn w:val="Normal"/>
    <w:next w:val="Normal"/>
    <w:link w:val="Heading3Char"/>
    <w:qFormat/>
    <w:rsid w:val="00DE6FDB"/>
    <w:pPr>
      <w:keepNext/>
      <w:spacing w:before="240" w:after="60"/>
      <w:outlineLvl w:val="2"/>
    </w:pPr>
    <w:rPr>
      <w:b/>
      <w:bCs/>
      <w:sz w:val="22"/>
      <w:szCs w:val="26"/>
    </w:rPr>
  </w:style>
  <w:style w:type="paragraph" w:styleId="Heading4">
    <w:name w:val="heading 4"/>
    <w:basedOn w:val="Normal"/>
    <w:next w:val="Normal"/>
    <w:link w:val="Heading4Char"/>
    <w:qFormat/>
    <w:rsid w:val="00DE6FDB"/>
    <w:pPr>
      <w:keepNext/>
      <w:spacing w:before="240" w:after="60"/>
      <w:outlineLvl w:val="3"/>
    </w:pPr>
    <w:rPr>
      <w:b/>
      <w:bCs/>
      <w:sz w:val="22"/>
      <w:szCs w:val="28"/>
    </w:rPr>
  </w:style>
  <w:style w:type="paragraph" w:styleId="Heading5">
    <w:name w:val="heading 5"/>
    <w:basedOn w:val="Normal"/>
    <w:next w:val="Normal"/>
    <w:link w:val="Heading5Char"/>
    <w:qFormat/>
    <w:rsid w:val="00DE6FDB"/>
    <w:pPr>
      <w:spacing w:before="240" w:after="60"/>
      <w:outlineLvl w:val="4"/>
    </w:pPr>
    <w:rPr>
      <w:b/>
      <w:bCs/>
      <w:iCs/>
      <w:sz w:val="22"/>
      <w:szCs w:val="26"/>
    </w:rPr>
  </w:style>
  <w:style w:type="paragraph" w:styleId="Heading6">
    <w:name w:val="heading 6"/>
    <w:basedOn w:val="Normal"/>
    <w:next w:val="Normal"/>
    <w:link w:val="Heading6Char"/>
    <w:qFormat/>
    <w:rsid w:val="00DE6FDB"/>
    <w:pPr>
      <w:spacing w:before="240" w:after="60"/>
      <w:outlineLvl w:val="5"/>
    </w:pPr>
    <w:rPr>
      <w:b/>
      <w:bCs/>
      <w:sz w:val="22"/>
      <w:szCs w:val="22"/>
    </w:rPr>
  </w:style>
  <w:style w:type="character" w:default="1" w:styleId="DefaultParagraphFont">
    <w:name w:val="Default Paragraph Font"/>
    <w:semiHidden/>
    <w:rsid w:val="00DE6FD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DE6FDB"/>
  </w:style>
  <w:style w:type="paragraph" w:customStyle="1" w:styleId="AutoEnding">
    <w:name w:val="AutoEnding"/>
    <w:basedOn w:val="Normal"/>
    <w:next w:val="Normal"/>
    <w:rsid w:val="00216DDC"/>
  </w:style>
  <w:style w:type="character" w:customStyle="1" w:styleId="Heading1Char">
    <w:name w:val="Heading 1 Char"/>
    <w:basedOn w:val="DefaultParagraphFont"/>
    <w:link w:val="Heading1"/>
    <w:rsid w:val="00BE07A8"/>
    <w:rPr>
      <w:rFonts w:ascii="Arial" w:eastAsia="Times New Roman" w:hAnsi="Arial" w:cs="Arial"/>
      <w:b/>
      <w:bCs/>
      <w:kern w:val="32"/>
      <w:sz w:val="28"/>
      <w:szCs w:val="32"/>
      <w:lang w:val="en-GB"/>
    </w:rPr>
  </w:style>
  <w:style w:type="character" w:customStyle="1" w:styleId="Heading2Char">
    <w:name w:val="Heading 2 Char"/>
    <w:basedOn w:val="DefaultParagraphFont"/>
    <w:link w:val="Heading2"/>
    <w:rsid w:val="00BE07A8"/>
    <w:rPr>
      <w:rFonts w:ascii="Arial" w:eastAsia="Times New Roman" w:hAnsi="Arial" w:cs="Arial"/>
      <w:b/>
      <w:bCs/>
      <w:iCs/>
      <w:sz w:val="24"/>
      <w:szCs w:val="28"/>
      <w:lang w:val="en-GB"/>
    </w:rPr>
  </w:style>
  <w:style w:type="character" w:customStyle="1" w:styleId="Heading3Char">
    <w:name w:val="Heading 3 Char"/>
    <w:basedOn w:val="DefaultParagraphFont"/>
    <w:link w:val="Heading3"/>
    <w:rsid w:val="00BE07A8"/>
    <w:rPr>
      <w:rFonts w:ascii="Arial" w:eastAsia="Times New Roman" w:hAnsi="Arial" w:cs="Arial"/>
      <w:b/>
      <w:bCs/>
      <w:szCs w:val="26"/>
      <w:lang w:val="en-GB"/>
    </w:rPr>
  </w:style>
  <w:style w:type="character" w:customStyle="1" w:styleId="Heading4Char">
    <w:name w:val="Heading 4 Char"/>
    <w:basedOn w:val="DefaultParagraphFont"/>
    <w:link w:val="Heading4"/>
    <w:rsid w:val="00BE07A8"/>
    <w:rPr>
      <w:rFonts w:ascii="Arial" w:eastAsia="Times New Roman" w:hAnsi="Arial" w:cs="Arial"/>
      <w:b/>
      <w:bCs/>
      <w:szCs w:val="28"/>
      <w:lang w:val="en-GB"/>
    </w:rPr>
  </w:style>
  <w:style w:type="character" w:customStyle="1" w:styleId="Heading5Char">
    <w:name w:val="Heading 5 Char"/>
    <w:basedOn w:val="DefaultParagraphFont"/>
    <w:link w:val="Heading5"/>
    <w:rsid w:val="00BE07A8"/>
    <w:rPr>
      <w:rFonts w:ascii="Arial" w:eastAsia="Times New Roman" w:hAnsi="Arial" w:cs="Arial"/>
      <w:b/>
      <w:bCs/>
      <w:iCs/>
      <w:szCs w:val="26"/>
      <w:lang w:val="en-GB"/>
    </w:rPr>
  </w:style>
  <w:style w:type="character" w:customStyle="1" w:styleId="Heading6Char">
    <w:name w:val="Heading 6 Char"/>
    <w:basedOn w:val="DefaultParagraphFont"/>
    <w:link w:val="Heading6"/>
    <w:rsid w:val="00BE07A8"/>
    <w:rPr>
      <w:rFonts w:ascii="Arial" w:eastAsia="Times New Roman" w:hAnsi="Arial" w:cs="Arial"/>
      <w:b/>
      <w:bCs/>
      <w:lang w:val="en-GB"/>
    </w:rPr>
  </w:style>
  <w:style w:type="paragraph" w:styleId="BodyText">
    <w:name w:val="Body Text"/>
    <w:basedOn w:val="Normal"/>
    <w:link w:val="BodyTextChar"/>
    <w:rsid w:val="00DE6FDB"/>
    <w:pPr>
      <w:spacing w:after="120"/>
      <w:jc w:val="both"/>
    </w:pPr>
  </w:style>
  <w:style w:type="character" w:customStyle="1" w:styleId="BodyTextChar">
    <w:name w:val="Body Text Char"/>
    <w:basedOn w:val="DefaultParagraphFont"/>
    <w:link w:val="BodyText"/>
    <w:rsid w:val="00BE07A8"/>
    <w:rPr>
      <w:rFonts w:ascii="Arial" w:eastAsia="Times New Roman" w:hAnsi="Arial" w:cs="Arial"/>
      <w:sz w:val="20"/>
      <w:szCs w:val="24"/>
      <w:lang w:val="en-GB"/>
    </w:rPr>
  </w:style>
  <w:style w:type="paragraph" w:styleId="BlockText">
    <w:name w:val="Block Text"/>
    <w:basedOn w:val="Normal"/>
    <w:rsid w:val="00DE6FDB"/>
    <w:pPr>
      <w:spacing w:after="120"/>
      <w:ind w:left="1440" w:right="1440"/>
    </w:pPr>
  </w:style>
  <w:style w:type="paragraph" w:styleId="Header">
    <w:name w:val="header"/>
    <w:basedOn w:val="Normal"/>
    <w:link w:val="HeaderChar"/>
    <w:rsid w:val="00DE6FDB"/>
    <w:pPr>
      <w:tabs>
        <w:tab w:val="center" w:pos="4153"/>
        <w:tab w:val="right" w:pos="8306"/>
      </w:tabs>
    </w:pPr>
    <w:rPr>
      <w:sz w:val="16"/>
    </w:rPr>
  </w:style>
  <w:style w:type="character" w:customStyle="1" w:styleId="HeaderChar">
    <w:name w:val="Header Char"/>
    <w:basedOn w:val="DefaultParagraphFont"/>
    <w:link w:val="Header"/>
    <w:rsid w:val="00BE07A8"/>
    <w:rPr>
      <w:rFonts w:ascii="Arial" w:eastAsia="Times New Roman" w:hAnsi="Arial" w:cs="Arial"/>
      <w:sz w:val="16"/>
      <w:szCs w:val="24"/>
      <w:lang w:val="en-GB"/>
    </w:rPr>
  </w:style>
  <w:style w:type="paragraph" w:styleId="Footer">
    <w:name w:val="footer"/>
    <w:basedOn w:val="Normal"/>
    <w:link w:val="FooterChar"/>
    <w:rsid w:val="00DE6FDB"/>
    <w:pPr>
      <w:tabs>
        <w:tab w:val="center" w:pos="4153"/>
        <w:tab w:val="right" w:pos="8306"/>
      </w:tabs>
    </w:pPr>
    <w:rPr>
      <w:sz w:val="16"/>
    </w:rPr>
  </w:style>
  <w:style w:type="character" w:customStyle="1" w:styleId="FooterChar">
    <w:name w:val="Footer Char"/>
    <w:basedOn w:val="DefaultParagraphFont"/>
    <w:link w:val="Footer"/>
    <w:rsid w:val="00BE07A8"/>
    <w:rPr>
      <w:rFonts w:ascii="Arial" w:eastAsia="Times New Roman" w:hAnsi="Arial" w:cs="Arial"/>
      <w:sz w:val="16"/>
      <w:szCs w:val="24"/>
      <w:lang w:val="en-GB"/>
    </w:rPr>
  </w:style>
  <w:style w:type="character" w:styleId="Hyperlink">
    <w:name w:val="Hyperlink"/>
    <w:rsid w:val="00DE6FDB"/>
    <w:rPr>
      <w:color w:val="0000FF"/>
      <w:u w:val="single"/>
    </w:rPr>
  </w:style>
  <w:style w:type="paragraph" w:styleId="TOC1">
    <w:name w:val="toc 1"/>
    <w:basedOn w:val="Normal"/>
    <w:next w:val="Normal"/>
    <w:autoRedefine/>
    <w:semiHidden/>
    <w:rsid w:val="00DE6FDB"/>
    <w:pPr>
      <w:spacing w:before="120" w:after="60"/>
    </w:pPr>
    <w:rPr>
      <w:b/>
      <w:sz w:val="26"/>
    </w:rPr>
  </w:style>
  <w:style w:type="paragraph" w:styleId="TOC2">
    <w:name w:val="toc 2"/>
    <w:basedOn w:val="Normal"/>
    <w:next w:val="Normal"/>
    <w:autoRedefine/>
    <w:semiHidden/>
    <w:rsid w:val="00DE6FDB"/>
    <w:pPr>
      <w:spacing w:after="60"/>
      <w:ind w:left="567"/>
    </w:pPr>
    <w:rPr>
      <w:sz w:val="24"/>
    </w:rPr>
  </w:style>
  <w:style w:type="paragraph" w:styleId="TOC3">
    <w:name w:val="toc 3"/>
    <w:basedOn w:val="Normal"/>
    <w:next w:val="Normal"/>
    <w:autoRedefine/>
    <w:semiHidden/>
    <w:rsid w:val="00DE6FDB"/>
    <w:pPr>
      <w:spacing w:after="60"/>
      <w:ind w:left="1134"/>
    </w:pPr>
  </w:style>
  <w:style w:type="paragraph" w:styleId="ListParagraph">
    <w:name w:val="List Paragraph"/>
    <w:basedOn w:val="Normal"/>
    <w:uiPriority w:val="34"/>
    <w:qFormat/>
    <w:rsid w:val="00BE07A8"/>
    <w:pPr>
      <w:ind w:left="720"/>
      <w:contextualSpacing/>
    </w:pPr>
  </w:style>
  <w:style w:type="character" w:customStyle="1" w:styleId="a-000Char">
    <w:name w:val="(a)-0.00 Char"/>
    <w:basedOn w:val="DefaultParagraphFont"/>
    <w:link w:val="a-000"/>
    <w:uiPriority w:val="99"/>
    <w:locked/>
    <w:rsid w:val="00BE07A8"/>
    <w:rPr>
      <w:rFonts w:ascii="Times New Roman" w:eastAsia="Times New Roman" w:hAnsi="Times New Roman" w:cs="Times New Roman"/>
      <w:sz w:val="20"/>
      <w:szCs w:val="20"/>
      <w:lang w:val="en-GB"/>
    </w:rPr>
  </w:style>
  <w:style w:type="paragraph" w:customStyle="1" w:styleId="a-000">
    <w:name w:val="(a)-0.00"/>
    <w:basedOn w:val="Normal"/>
    <w:link w:val="a-000Char"/>
    <w:uiPriority w:val="99"/>
    <w:rsid w:val="00BE07A8"/>
    <w:pPr>
      <w:widowControl w:val="0"/>
      <w:tabs>
        <w:tab w:val="left" w:pos="794"/>
        <w:tab w:val="left" w:pos="1304"/>
      </w:tabs>
      <w:spacing w:before="120"/>
      <w:ind w:left="1304" w:hanging="1304"/>
    </w:pPr>
    <w:rPr>
      <w:rFonts w:ascii="Times New Roman" w:hAnsi="Times New Roman" w:cs="Times New Roman"/>
      <w:szCs w:val="20"/>
    </w:rPr>
  </w:style>
  <w:style w:type="paragraph" w:customStyle="1" w:styleId="Default">
    <w:name w:val="Default"/>
    <w:rsid w:val="00BE07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iaw\Toolbar_Add-ins\j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jse.dot</Template>
  <TotalTime>8</TotalTime>
  <Pages>1</Pages>
  <Words>2244</Words>
  <Characters>12791</Characters>
  <Application>Microsoft Office Word</Application>
  <DocSecurity>0</DocSecurity>
  <Lines>106</Lines>
  <Paragraphs>30</Paragraphs>
  <ScaleCrop>false</ScaleCrop>
  <Company>JSE</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Wimberley</dc:creator>
  <cp:keywords/>
  <dc:description/>
  <cp:lastModifiedBy>Tania Wimberley</cp:lastModifiedBy>
  <cp:revision>4</cp:revision>
  <dcterms:created xsi:type="dcterms:W3CDTF">2012-12-07T10:57:00Z</dcterms:created>
  <dcterms:modified xsi:type="dcterms:W3CDTF">2012-12-07T12:54:00Z</dcterms:modified>
</cp:coreProperties>
</file>