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47" w:rsidRPr="00E10D80" w:rsidRDefault="00473047" w:rsidP="007A1EE9">
      <w:pPr>
        <w:pStyle w:val="Default"/>
        <w:jc w:val="both"/>
        <w:rPr>
          <w:rFonts w:ascii="Times New Roman" w:hAnsi="Times New Roman" w:cs="Times New Roman"/>
        </w:rPr>
      </w:pPr>
    </w:p>
    <w:p w:rsidR="00473047" w:rsidRPr="007E72D1" w:rsidRDefault="00473047" w:rsidP="007E72D1">
      <w:pPr>
        <w:pStyle w:val="Default"/>
        <w:jc w:val="both"/>
        <w:rPr>
          <w:rFonts w:ascii="Times New Roman" w:hAnsi="Times New Roman" w:cs="Times New Roman"/>
          <w:i/>
        </w:rPr>
      </w:pPr>
      <w:r w:rsidRPr="007E72D1">
        <w:rPr>
          <w:rFonts w:ascii="Times New Roman" w:hAnsi="Times New Roman" w:cs="Times New Roman"/>
        </w:rPr>
        <w:t>GEN – General - Johannesburg</w:t>
      </w:r>
      <w:r w:rsidR="00CB2FD7" w:rsidRPr="007E72D1">
        <w:rPr>
          <w:rFonts w:ascii="Times New Roman" w:hAnsi="Times New Roman" w:cs="Times New Roman"/>
        </w:rPr>
        <w:t xml:space="preserve"> Stock Exchange –Circular 2</w:t>
      </w:r>
      <w:r w:rsidR="00B5187E" w:rsidRPr="007E72D1">
        <w:rPr>
          <w:rFonts w:ascii="Times New Roman" w:hAnsi="Times New Roman" w:cs="Times New Roman"/>
        </w:rPr>
        <w:t>/</w:t>
      </w:r>
      <w:r w:rsidR="00CB2FD7" w:rsidRPr="007E72D1">
        <w:rPr>
          <w:rFonts w:ascii="Times New Roman" w:hAnsi="Times New Roman" w:cs="Times New Roman"/>
        </w:rPr>
        <w:t>2013</w:t>
      </w:r>
      <w:r w:rsidR="00B5187E" w:rsidRPr="007E72D1">
        <w:rPr>
          <w:rFonts w:ascii="Times New Roman" w:hAnsi="Times New Roman" w:cs="Times New Roman"/>
        </w:rPr>
        <w:t xml:space="preserve"> –</w:t>
      </w:r>
      <w:r w:rsidR="00B5187E" w:rsidRPr="007E72D1">
        <w:rPr>
          <w:rFonts w:ascii="Times New Roman" w:hAnsi="Times New Roman" w:cs="Times New Roman"/>
          <w:i/>
        </w:rPr>
        <w:t>Headline Earnings</w:t>
      </w:r>
    </w:p>
    <w:p w:rsidR="00552265" w:rsidRPr="007E72D1" w:rsidRDefault="00552265" w:rsidP="007E72D1">
      <w:pPr>
        <w:pStyle w:val="Default"/>
        <w:jc w:val="both"/>
        <w:rPr>
          <w:rFonts w:ascii="Times New Roman" w:hAnsi="Times New Roman" w:cs="Times New Roman"/>
        </w:rPr>
      </w:pPr>
    </w:p>
    <w:p w:rsidR="00B94502" w:rsidRPr="007E72D1" w:rsidRDefault="00CB2FD7" w:rsidP="007E72D1">
      <w:pPr>
        <w:spacing w:line="240" w:lineRule="auto"/>
        <w:jc w:val="both"/>
        <w:rPr>
          <w:rFonts w:ascii="Times New Roman" w:hAnsi="Times New Roman"/>
          <w:b/>
          <w:bCs/>
          <w:sz w:val="24"/>
          <w:szCs w:val="24"/>
          <w:lang w:val="en-ZA" w:eastAsia="en-ZA"/>
        </w:rPr>
      </w:pPr>
      <w:r w:rsidRPr="007E72D1">
        <w:rPr>
          <w:rFonts w:ascii="Times New Roman" w:hAnsi="Times New Roman"/>
          <w:b/>
          <w:bCs/>
          <w:sz w:val="24"/>
          <w:szCs w:val="24"/>
          <w:lang w:val="en-ZA" w:eastAsia="en-ZA"/>
        </w:rPr>
        <w:t>Circular 2</w:t>
      </w:r>
      <w:r w:rsidR="00B5187E" w:rsidRPr="007E72D1">
        <w:rPr>
          <w:rFonts w:ascii="Times New Roman" w:hAnsi="Times New Roman"/>
          <w:b/>
          <w:bCs/>
          <w:sz w:val="24"/>
          <w:szCs w:val="24"/>
          <w:lang w:val="en-ZA" w:eastAsia="en-ZA"/>
        </w:rPr>
        <w:t>/</w:t>
      </w:r>
      <w:r w:rsidRPr="007E72D1">
        <w:rPr>
          <w:rFonts w:ascii="Times New Roman" w:hAnsi="Times New Roman"/>
          <w:b/>
          <w:bCs/>
          <w:sz w:val="24"/>
          <w:szCs w:val="24"/>
          <w:lang w:val="en-ZA" w:eastAsia="en-ZA"/>
        </w:rPr>
        <w:t>2013</w:t>
      </w:r>
      <w:r w:rsidR="00B5187E" w:rsidRPr="007E72D1">
        <w:rPr>
          <w:rFonts w:ascii="Times New Roman" w:hAnsi="Times New Roman"/>
          <w:b/>
          <w:bCs/>
          <w:sz w:val="24"/>
          <w:szCs w:val="24"/>
          <w:lang w:val="en-ZA" w:eastAsia="en-ZA"/>
        </w:rPr>
        <w:t xml:space="preserve"> – </w:t>
      </w:r>
      <w:r w:rsidR="006C28FF" w:rsidRPr="007E72D1">
        <w:rPr>
          <w:rFonts w:ascii="Times New Roman" w:hAnsi="Times New Roman"/>
          <w:b/>
          <w:bCs/>
          <w:i/>
          <w:sz w:val="24"/>
          <w:szCs w:val="24"/>
          <w:lang w:val="en-ZA" w:eastAsia="en-ZA"/>
        </w:rPr>
        <w:t>Headline Earnings</w:t>
      </w:r>
    </w:p>
    <w:p w:rsidR="00B74893" w:rsidRPr="007E72D1" w:rsidRDefault="00B74893" w:rsidP="007E72D1">
      <w:pPr>
        <w:spacing w:line="240" w:lineRule="auto"/>
        <w:jc w:val="both"/>
        <w:rPr>
          <w:rFonts w:ascii="Times New Roman" w:hAnsi="Times New Roman"/>
          <w:b/>
          <w:bCs/>
          <w:sz w:val="24"/>
          <w:szCs w:val="24"/>
          <w:lang w:val="en-ZA" w:eastAsia="en-ZA"/>
        </w:rPr>
      </w:pPr>
    </w:p>
    <w:p w:rsidR="005F6179" w:rsidRPr="007E72D1" w:rsidRDefault="00CB2FD7" w:rsidP="007E72D1">
      <w:pPr>
        <w:pStyle w:val="BodyText"/>
        <w:spacing w:line="240" w:lineRule="auto"/>
        <w:rPr>
          <w:rFonts w:ascii="Times New Roman" w:hAnsi="Times New Roman"/>
          <w:bCs/>
          <w:sz w:val="24"/>
          <w:szCs w:val="24"/>
          <w:lang w:val="en-GB"/>
        </w:rPr>
      </w:pPr>
      <w:r w:rsidRPr="007E72D1">
        <w:rPr>
          <w:rFonts w:ascii="Times New Roman" w:hAnsi="Times New Roman"/>
          <w:bCs/>
          <w:sz w:val="24"/>
          <w:szCs w:val="24"/>
          <w:lang w:val="en-GB"/>
        </w:rPr>
        <w:t xml:space="preserve">The </w:t>
      </w:r>
      <w:r w:rsidR="00B5187E" w:rsidRPr="007E72D1">
        <w:rPr>
          <w:rFonts w:ascii="Times New Roman" w:hAnsi="Times New Roman"/>
          <w:bCs/>
          <w:sz w:val="24"/>
          <w:szCs w:val="24"/>
          <w:lang w:val="en-GB"/>
        </w:rPr>
        <w:t>Headline Earnings C</w:t>
      </w:r>
      <w:r w:rsidRPr="007E72D1">
        <w:rPr>
          <w:rFonts w:ascii="Times New Roman" w:hAnsi="Times New Roman"/>
          <w:bCs/>
          <w:sz w:val="24"/>
          <w:szCs w:val="24"/>
          <w:lang w:val="en-GB"/>
        </w:rPr>
        <w:t>ircular is issued by the South African Institute of Chartered Accountants (“</w:t>
      </w:r>
      <w:r w:rsidRPr="007E72D1">
        <w:rPr>
          <w:rFonts w:ascii="Times New Roman" w:hAnsi="Times New Roman"/>
          <w:b/>
          <w:bCs/>
          <w:sz w:val="24"/>
          <w:szCs w:val="24"/>
          <w:lang w:val="en-GB"/>
        </w:rPr>
        <w:t>SAICA</w:t>
      </w:r>
      <w:r w:rsidRPr="007E72D1">
        <w:rPr>
          <w:rFonts w:ascii="Times New Roman" w:hAnsi="Times New Roman"/>
          <w:bCs/>
          <w:sz w:val="24"/>
          <w:szCs w:val="24"/>
          <w:lang w:val="en-GB"/>
        </w:rPr>
        <w:t>”) at the request of the JSE.  The JSE Listings Requirements (the “</w:t>
      </w:r>
      <w:r w:rsidRPr="007E72D1">
        <w:rPr>
          <w:rFonts w:ascii="Times New Roman" w:hAnsi="Times New Roman"/>
          <w:b/>
          <w:bCs/>
          <w:sz w:val="24"/>
          <w:szCs w:val="24"/>
          <w:lang w:val="en-GB"/>
        </w:rPr>
        <w:t>Requirements</w:t>
      </w:r>
      <w:r w:rsidRPr="007E72D1">
        <w:rPr>
          <w:rFonts w:ascii="Times New Roman" w:hAnsi="Times New Roman"/>
          <w:bCs/>
          <w:sz w:val="24"/>
          <w:szCs w:val="24"/>
          <w:lang w:val="en-GB"/>
        </w:rPr>
        <w:t xml:space="preserve">”) require the calculation of headline earnings and disclosure of a detailed reconciliation of headline earnings to the earnings numbers used in the calculation of basic earnings per share in accordance with the requirements of IAS 33 – </w:t>
      </w:r>
      <w:r w:rsidRPr="007E72D1">
        <w:rPr>
          <w:rFonts w:ascii="Times New Roman" w:hAnsi="Times New Roman"/>
          <w:bCs/>
          <w:i/>
          <w:iCs/>
          <w:sz w:val="24"/>
          <w:szCs w:val="24"/>
          <w:lang w:val="en-GB"/>
        </w:rPr>
        <w:t>Earnings per Share</w:t>
      </w:r>
      <w:r w:rsidRPr="007E72D1">
        <w:rPr>
          <w:rFonts w:ascii="Times New Roman" w:hAnsi="Times New Roman"/>
          <w:bCs/>
          <w:sz w:val="24"/>
          <w:szCs w:val="24"/>
          <w:lang w:val="en-GB"/>
        </w:rPr>
        <w:t xml:space="preserve">. </w:t>
      </w:r>
    </w:p>
    <w:p w:rsidR="00CB2FD7" w:rsidRPr="007E72D1" w:rsidRDefault="00CB2FD7" w:rsidP="007E72D1">
      <w:pPr>
        <w:pStyle w:val="BodyText"/>
        <w:spacing w:line="240" w:lineRule="auto"/>
        <w:rPr>
          <w:rFonts w:ascii="Times New Roman" w:hAnsi="Times New Roman"/>
          <w:bCs/>
          <w:sz w:val="24"/>
          <w:szCs w:val="24"/>
          <w:lang w:val="en-GB"/>
        </w:rPr>
      </w:pPr>
      <w:r w:rsidRPr="007E72D1">
        <w:rPr>
          <w:rFonts w:ascii="Times New Roman" w:hAnsi="Times New Roman"/>
          <w:bCs/>
          <w:sz w:val="24"/>
          <w:szCs w:val="24"/>
          <w:lang w:val="en-GB"/>
        </w:rPr>
        <w:t>The incorporation of Circular 2</w:t>
      </w:r>
      <w:r w:rsidR="00B5187E" w:rsidRPr="007E72D1">
        <w:rPr>
          <w:rFonts w:ascii="Times New Roman" w:hAnsi="Times New Roman"/>
          <w:bCs/>
          <w:sz w:val="24"/>
          <w:szCs w:val="24"/>
          <w:lang w:val="en-GB"/>
        </w:rPr>
        <w:t>/</w:t>
      </w:r>
      <w:r w:rsidRPr="007E72D1">
        <w:rPr>
          <w:rFonts w:ascii="Times New Roman" w:hAnsi="Times New Roman"/>
          <w:bCs/>
          <w:sz w:val="24"/>
          <w:szCs w:val="24"/>
          <w:lang w:val="en-GB"/>
        </w:rPr>
        <w:t>2013</w:t>
      </w:r>
      <w:r w:rsidR="00B5187E" w:rsidRPr="007E72D1">
        <w:rPr>
          <w:rFonts w:ascii="Times New Roman" w:hAnsi="Times New Roman"/>
          <w:bCs/>
          <w:sz w:val="24"/>
          <w:szCs w:val="24"/>
          <w:lang w:val="en-GB"/>
        </w:rPr>
        <w:t xml:space="preserve"> – </w:t>
      </w:r>
      <w:r w:rsidR="00B5187E" w:rsidRPr="007E72D1">
        <w:rPr>
          <w:rFonts w:ascii="Times New Roman" w:hAnsi="Times New Roman"/>
          <w:bCs/>
          <w:i/>
          <w:sz w:val="24"/>
          <w:szCs w:val="24"/>
          <w:lang w:val="en-GB"/>
        </w:rPr>
        <w:t>Headline Earnings</w:t>
      </w:r>
      <w:r w:rsidRPr="007E72D1">
        <w:rPr>
          <w:rFonts w:ascii="Times New Roman" w:hAnsi="Times New Roman"/>
          <w:bCs/>
          <w:sz w:val="24"/>
          <w:szCs w:val="24"/>
          <w:lang w:val="en-GB"/>
        </w:rPr>
        <w:t xml:space="preserve"> into the Requirements will constitute an amendment to the Requirements and therefore must comply with the amendment process pursuant to the provisions of the Financial Markets Act No 19 of 2012.</w:t>
      </w:r>
    </w:p>
    <w:p w:rsidR="00B5187E" w:rsidRPr="007E72D1" w:rsidRDefault="00CB2FD7" w:rsidP="007E72D1">
      <w:pPr>
        <w:pStyle w:val="BodyText"/>
        <w:spacing w:line="240" w:lineRule="auto"/>
        <w:rPr>
          <w:rFonts w:ascii="Times New Roman" w:hAnsi="Times New Roman"/>
          <w:bCs/>
          <w:sz w:val="24"/>
          <w:szCs w:val="24"/>
          <w:lang w:val="en-GB"/>
        </w:rPr>
      </w:pPr>
      <w:r w:rsidRPr="007E72D1">
        <w:rPr>
          <w:rFonts w:ascii="Times New Roman" w:hAnsi="Times New Roman"/>
          <w:bCs/>
          <w:sz w:val="24"/>
          <w:szCs w:val="24"/>
          <w:lang w:val="en-GB"/>
        </w:rPr>
        <w:t>Until such time that the Circular 2</w:t>
      </w:r>
      <w:r w:rsidR="00B5187E" w:rsidRPr="007E72D1">
        <w:rPr>
          <w:rFonts w:ascii="Times New Roman" w:hAnsi="Times New Roman"/>
          <w:bCs/>
          <w:sz w:val="24"/>
          <w:szCs w:val="24"/>
          <w:lang w:val="en-GB"/>
        </w:rPr>
        <w:t>/</w:t>
      </w:r>
      <w:r w:rsidRPr="007E72D1">
        <w:rPr>
          <w:rFonts w:ascii="Times New Roman" w:hAnsi="Times New Roman"/>
          <w:bCs/>
          <w:sz w:val="24"/>
          <w:szCs w:val="24"/>
          <w:lang w:val="en-GB"/>
        </w:rPr>
        <w:t xml:space="preserve"> 2013</w:t>
      </w:r>
      <w:r w:rsidR="00B5187E" w:rsidRPr="007E72D1">
        <w:rPr>
          <w:rFonts w:ascii="Times New Roman" w:hAnsi="Times New Roman"/>
          <w:bCs/>
          <w:sz w:val="24"/>
          <w:szCs w:val="24"/>
          <w:lang w:val="en-GB"/>
        </w:rPr>
        <w:t xml:space="preserve"> – </w:t>
      </w:r>
      <w:r w:rsidR="00B5187E" w:rsidRPr="007E72D1">
        <w:rPr>
          <w:rFonts w:ascii="Times New Roman" w:hAnsi="Times New Roman"/>
          <w:bCs/>
          <w:i/>
          <w:sz w:val="24"/>
          <w:szCs w:val="24"/>
          <w:lang w:val="en-GB"/>
        </w:rPr>
        <w:t>Headline Earnings</w:t>
      </w:r>
      <w:r w:rsidRPr="007E72D1">
        <w:rPr>
          <w:rFonts w:ascii="Times New Roman" w:hAnsi="Times New Roman"/>
          <w:bCs/>
          <w:sz w:val="24"/>
          <w:szCs w:val="24"/>
          <w:lang w:val="en-GB"/>
        </w:rPr>
        <w:t xml:space="preserve"> is formally incorporated in the Requirements, the </w:t>
      </w:r>
      <w:r w:rsidR="007E7FC1" w:rsidRPr="007E72D1">
        <w:rPr>
          <w:rFonts w:ascii="Times New Roman" w:hAnsi="Times New Roman"/>
          <w:bCs/>
          <w:sz w:val="24"/>
          <w:szCs w:val="24"/>
          <w:lang w:val="en-GB"/>
        </w:rPr>
        <w:t>Circular</w:t>
      </w:r>
      <w:r w:rsidRPr="007E72D1">
        <w:rPr>
          <w:rFonts w:ascii="Times New Roman" w:hAnsi="Times New Roman"/>
          <w:bCs/>
          <w:sz w:val="24"/>
          <w:szCs w:val="24"/>
          <w:lang w:val="en-GB"/>
        </w:rPr>
        <w:t xml:space="preserve"> is released for </w:t>
      </w:r>
      <w:r w:rsidR="001C7DF2" w:rsidRPr="007E72D1">
        <w:rPr>
          <w:rFonts w:ascii="Times New Roman" w:hAnsi="Times New Roman"/>
          <w:bCs/>
          <w:sz w:val="24"/>
          <w:szCs w:val="24"/>
          <w:lang w:val="en-GB"/>
        </w:rPr>
        <w:t xml:space="preserve">voluntary </w:t>
      </w:r>
      <w:r w:rsidRPr="007E72D1">
        <w:rPr>
          <w:rFonts w:ascii="Times New Roman" w:hAnsi="Times New Roman"/>
          <w:bCs/>
          <w:sz w:val="24"/>
          <w:szCs w:val="24"/>
          <w:lang w:val="en-GB"/>
        </w:rPr>
        <w:t>early adoption</w:t>
      </w:r>
      <w:r w:rsidR="007E7FC1" w:rsidRPr="007E72D1">
        <w:rPr>
          <w:rFonts w:ascii="Times New Roman" w:hAnsi="Times New Roman"/>
          <w:bCs/>
          <w:sz w:val="24"/>
          <w:szCs w:val="24"/>
          <w:lang w:val="en-GB"/>
        </w:rPr>
        <w:t xml:space="preserve"> and is effective for financial periods ending </w:t>
      </w:r>
      <w:r w:rsidR="006C7D73" w:rsidRPr="007E72D1">
        <w:rPr>
          <w:rFonts w:ascii="Times New Roman" w:hAnsi="Times New Roman"/>
          <w:bCs/>
          <w:sz w:val="24"/>
          <w:szCs w:val="24"/>
          <w:lang w:val="en-GB"/>
        </w:rPr>
        <w:t xml:space="preserve">on </w:t>
      </w:r>
      <w:r w:rsidR="007E7FC1" w:rsidRPr="007E72D1">
        <w:rPr>
          <w:rFonts w:ascii="Times New Roman" w:hAnsi="Times New Roman"/>
          <w:bCs/>
          <w:sz w:val="24"/>
          <w:szCs w:val="24"/>
          <w:lang w:val="en-GB"/>
        </w:rPr>
        <w:t xml:space="preserve">or after 31 July 2013. </w:t>
      </w:r>
    </w:p>
    <w:p w:rsidR="00B5187E" w:rsidRPr="007E72D1" w:rsidRDefault="00B5187E" w:rsidP="007E72D1">
      <w:pPr>
        <w:pStyle w:val="Header"/>
        <w:tabs>
          <w:tab w:val="left" w:pos="540"/>
        </w:tabs>
        <w:spacing w:after="240"/>
        <w:ind w:right="-51" w:hanging="567"/>
        <w:jc w:val="both"/>
        <w:rPr>
          <w:color w:val="000000"/>
          <w:sz w:val="24"/>
          <w:szCs w:val="24"/>
        </w:rPr>
      </w:pPr>
      <w:r w:rsidRPr="007E72D1">
        <w:rPr>
          <w:sz w:val="22"/>
          <w:szCs w:val="22"/>
        </w:rPr>
        <w:tab/>
      </w:r>
      <w:r w:rsidR="006C28FF" w:rsidRPr="007E72D1">
        <w:rPr>
          <w:sz w:val="24"/>
          <w:szCs w:val="24"/>
        </w:rPr>
        <w:t xml:space="preserve">The revisions contained in Circular 2/2013 reflect </w:t>
      </w:r>
      <w:r w:rsidR="00C21C45" w:rsidRPr="007E72D1">
        <w:rPr>
          <w:sz w:val="24"/>
          <w:szCs w:val="24"/>
        </w:rPr>
        <w:t xml:space="preserve">new IFRSs/amendments to IFRSs/Interpretations issued </w:t>
      </w:r>
      <w:r w:rsidR="006C28FF" w:rsidRPr="007E72D1">
        <w:rPr>
          <w:sz w:val="24"/>
          <w:szCs w:val="24"/>
        </w:rPr>
        <w:t>from 30 April 2009 to 30 April 2013.</w:t>
      </w:r>
      <w:r w:rsidRPr="007E72D1">
        <w:rPr>
          <w:color w:val="000000"/>
          <w:sz w:val="24"/>
          <w:szCs w:val="24"/>
        </w:rPr>
        <w:t xml:space="preserve"> </w:t>
      </w:r>
      <w:r w:rsidR="006C28FF" w:rsidRPr="007E72D1">
        <w:rPr>
          <w:color w:val="000000"/>
          <w:sz w:val="24"/>
          <w:szCs w:val="24"/>
        </w:rPr>
        <w:t>Furthermore changes were introduced to clarify certain aspects specifically:</w:t>
      </w:r>
    </w:p>
    <w:p w:rsidR="00323D8A" w:rsidRPr="007E72D1" w:rsidRDefault="00C21C45" w:rsidP="007E72D1">
      <w:pPr>
        <w:pStyle w:val="Header"/>
        <w:numPr>
          <w:ilvl w:val="0"/>
          <w:numId w:val="2"/>
        </w:numPr>
        <w:tabs>
          <w:tab w:val="clear" w:pos="4153"/>
          <w:tab w:val="clear" w:pos="8306"/>
          <w:tab w:val="left" w:pos="0"/>
        </w:tabs>
        <w:spacing w:before="180" w:after="120"/>
        <w:ind w:left="426" w:right="-51" w:hanging="426"/>
        <w:jc w:val="both"/>
        <w:rPr>
          <w:i/>
          <w:sz w:val="24"/>
          <w:szCs w:val="24"/>
        </w:rPr>
      </w:pPr>
      <w:r w:rsidRPr="007E72D1">
        <w:rPr>
          <w:color w:val="000000"/>
          <w:sz w:val="24"/>
          <w:szCs w:val="24"/>
        </w:rPr>
        <w:t xml:space="preserve">IFRS 5 </w:t>
      </w:r>
      <w:r w:rsidR="00D613D6" w:rsidRPr="007E72D1">
        <w:rPr>
          <w:color w:val="000000"/>
          <w:sz w:val="24"/>
          <w:szCs w:val="24"/>
        </w:rPr>
        <w:t xml:space="preserve">– </w:t>
      </w:r>
      <w:r w:rsidR="00D613D6" w:rsidRPr="007E72D1">
        <w:rPr>
          <w:i/>
          <w:color w:val="000000"/>
          <w:sz w:val="24"/>
          <w:szCs w:val="24"/>
        </w:rPr>
        <w:t xml:space="preserve">Non-current Assets Held for Sale and Discontinued Operations, </w:t>
      </w:r>
      <w:r w:rsidRPr="007E72D1">
        <w:rPr>
          <w:color w:val="000000"/>
          <w:sz w:val="24"/>
          <w:szCs w:val="24"/>
        </w:rPr>
        <w:t xml:space="preserve">where there is a change in a plan with regard to an asset or group of assets held for sale. </w:t>
      </w:r>
    </w:p>
    <w:p w:rsidR="00323D8A" w:rsidRPr="007E72D1" w:rsidRDefault="00C21C45" w:rsidP="007E72D1">
      <w:pPr>
        <w:pStyle w:val="Header"/>
        <w:numPr>
          <w:ilvl w:val="0"/>
          <w:numId w:val="2"/>
        </w:numPr>
        <w:tabs>
          <w:tab w:val="left" w:pos="0"/>
        </w:tabs>
        <w:spacing w:before="180" w:after="120"/>
        <w:ind w:left="426" w:right="-51" w:hanging="426"/>
        <w:jc w:val="both"/>
        <w:rPr>
          <w:i/>
          <w:sz w:val="24"/>
          <w:szCs w:val="24"/>
        </w:rPr>
      </w:pPr>
      <w:r w:rsidRPr="007E72D1">
        <w:rPr>
          <w:color w:val="000000"/>
          <w:sz w:val="24"/>
          <w:szCs w:val="24"/>
        </w:rPr>
        <w:t>IAS 16</w:t>
      </w:r>
      <w:r w:rsidR="00D613D6" w:rsidRPr="007E72D1">
        <w:rPr>
          <w:color w:val="000000"/>
          <w:sz w:val="24"/>
          <w:szCs w:val="24"/>
        </w:rPr>
        <w:t xml:space="preserve"> – </w:t>
      </w:r>
      <w:r w:rsidR="00D613D6" w:rsidRPr="007E72D1">
        <w:rPr>
          <w:i/>
          <w:color w:val="000000"/>
          <w:sz w:val="24"/>
          <w:szCs w:val="24"/>
        </w:rPr>
        <w:t>Property, Plant and Equipment</w:t>
      </w:r>
      <w:r w:rsidRPr="007E72D1">
        <w:rPr>
          <w:color w:val="000000"/>
          <w:sz w:val="24"/>
          <w:szCs w:val="24"/>
        </w:rPr>
        <w:t>/IAS 38</w:t>
      </w:r>
      <w:r w:rsidR="00D613D6" w:rsidRPr="007E72D1">
        <w:rPr>
          <w:color w:val="000000"/>
          <w:sz w:val="24"/>
          <w:szCs w:val="24"/>
        </w:rPr>
        <w:t xml:space="preserve"> – </w:t>
      </w:r>
      <w:r w:rsidR="00D613D6" w:rsidRPr="007E72D1">
        <w:rPr>
          <w:i/>
          <w:color w:val="000000"/>
          <w:sz w:val="24"/>
          <w:szCs w:val="24"/>
        </w:rPr>
        <w:t>Intangible Assets</w:t>
      </w:r>
      <w:r w:rsidRPr="007E72D1">
        <w:rPr>
          <w:color w:val="000000"/>
          <w:sz w:val="24"/>
          <w:szCs w:val="24"/>
        </w:rPr>
        <w:t xml:space="preserve"> for the s</w:t>
      </w:r>
      <w:r w:rsidRPr="007E72D1">
        <w:rPr>
          <w:sz w:val="24"/>
          <w:szCs w:val="24"/>
        </w:rPr>
        <w:t>ubsequent measurement of the compensation receivable.</w:t>
      </w:r>
    </w:p>
    <w:p w:rsidR="00323D8A" w:rsidRPr="007E72D1" w:rsidRDefault="006C28FF" w:rsidP="007E72D1">
      <w:pPr>
        <w:pStyle w:val="Header"/>
        <w:numPr>
          <w:ilvl w:val="0"/>
          <w:numId w:val="2"/>
        </w:numPr>
        <w:tabs>
          <w:tab w:val="clear" w:pos="4153"/>
          <w:tab w:val="clear" w:pos="8306"/>
          <w:tab w:val="left" w:pos="0"/>
        </w:tabs>
        <w:spacing w:before="180" w:after="120"/>
        <w:ind w:left="426" w:right="-51" w:hanging="426"/>
        <w:jc w:val="both"/>
        <w:rPr>
          <w:i/>
          <w:sz w:val="24"/>
          <w:szCs w:val="24"/>
        </w:rPr>
      </w:pPr>
      <w:r w:rsidRPr="007E72D1">
        <w:rPr>
          <w:color w:val="000000"/>
          <w:sz w:val="24"/>
          <w:szCs w:val="24"/>
        </w:rPr>
        <w:t xml:space="preserve">IAS 17 </w:t>
      </w:r>
      <w:r w:rsidR="00D613D6" w:rsidRPr="007E72D1">
        <w:rPr>
          <w:color w:val="000000"/>
          <w:sz w:val="24"/>
          <w:szCs w:val="24"/>
        </w:rPr>
        <w:t xml:space="preserve">– </w:t>
      </w:r>
      <w:r w:rsidR="00D613D6" w:rsidRPr="007E72D1">
        <w:rPr>
          <w:i/>
          <w:color w:val="000000"/>
          <w:sz w:val="24"/>
          <w:szCs w:val="24"/>
        </w:rPr>
        <w:t xml:space="preserve">Leases </w:t>
      </w:r>
      <w:r w:rsidRPr="007E72D1">
        <w:rPr>
          <w:color w:val="000000"/>
          <w:sz w:val="24"/>
          <w:szCs w:val="24"/>
        </w:rPr>
        <w:t xml:space="preserve">has been added for completeness. </w:t>
      </w:r>
    </w:p>
    <w:p w:rsidR="00323D8A" w:rsidRPr="007E72D1" w:rsidRDefault="006C28FF" w:rsidP="007E72D1">
      <w:pPr>
        <w:pStyle w:val="Header"/>
        <w:numPr>
          <w:ilvl w:val="0"/>
          <w:numId w:val="2"/>
        </w:numPr>
        <w:tabs>
          <w:tab w:val="clear" w:pos="4153"/>
          <w:tab w:val="clear" w:pos="8306"/>
          <w:tab w:val="left" w:pos="0"/>
        </w:tabs>
        <w:spacing w:before="180" w:after="120"/>
        <w:ind w:left="426" w:right="-51" w:hanging="426"/>
        <w:jc w:val="both"/>
        <w:rPr>
          <w:i/>
          <w:sz w:val="24"/>
          <w:szCs w:val="24"/>
        </w:rPr>
      </w:pPr>
      <w:r w:rsidRPr="007E72D1">
        <w:rPr>
          <w:color w:val="000000"/>
          <w:sz w:val="24"/>
          <w:szCs w:val="24"/>
        </w:rPr>
        <w:t>IFRIC 1</w:t>
      </w:r>
      <w:r w:rsidR="00D613D6" w:rsidRPr="007E72D1">
        <w:rPr>
          <w:color w:val="000000"/>
          <w:sz w:val="24"/>
          <w:szCs w:val="24"/>
        </w:rPr>
        <w:t xml:space="preserve"> – </w:t>
      </w:r>
      <w:r w:rsidR="00D613D6" w:rsidRPr="007E72D1">
        <w:rPr>
          <w:i/>
          <w:color w:val="000000"/>
          <w:sz w:val="24"/>
          <w:szCs w:val="24"/>
        </w:rPr>
        <w:t>Changes in Existing Decommissioning, Restoration and Similar Liabilities</w:t>
      </w:r>
      <w:r w:rsidRPr="007E72D1">
        <w:rPr>
          <w:color w:val="000000"/>
          <w:sz w:val="24"/>
          <w:szCs w:val="24"/>
        </w:rPr>
        <w:t xml:space="preserve">, IFRIC 18 </w:t>
      </w:r>
      <w:r w:rsidR="00D613D6" w:rsidRPr="007E72D1">
        <w:rPr>
          <w:color w:val="000000"/>
          <w:sz w:val="24"/>
          <w:szCs w:val="24"/>
        </w:rPr>
        <w:t xml:space="preserve">– </w:t>
      </w:r>
      <w:r w:rsidR="00D613D6" w:rsidRPr="007E72D1">
        <w:rPr>
          <w:i/>
          <w:color w:val="000000"/>
          <w:sz w:val="24"/>
          <w:szCs w:val="24"/>
        </w:rPr>
        <w:t xml:space="preserve">Transfers of Assets from Customers </w:t>
      </w:r>
      <w:r w:rsidRPr="007E72D1">
        <w:rPr>
          <w:color w:val="000000"/>
          <w:sz w:val="24"/>
          <w:szCs w:val="24"/>
        </w:rPr>
        <w:t xml:space="preserve">and SIC 25 </w:t>
      </w:r>
      <w:r w:rsidR="00D613D6" w:rsidRPr="007E72D1">
        <w:rPr>
          <w:color w:val="000000"/>
          <w:sz w:val="24"/>
          <w:szCs w:val="24"/>
        </w:rPr>
        <w:t xml:space="preserve">– </w:t>
      </w:r>
      <w:r w:rsidR="00D613D6" w:rsidRPr="007E72D1">
        <w:rPr>
          <w:i/>
          <w:color w:val="000000"/>
          <w:sz w:val="24"/>
          <w:szCs w:val="24"/>
        </w:rPr>
        <w:t>Income Taxes – Changes in the Tax Status of an Entity or its Shareholders</w:t>
      </w:r>
      <w:r w:rsidR="00ED0E74" w:rsidRPr="007E72D1">
        <w:rPr>
          <w:i/>
          <w:color w:val="000000"/>
          <w:sz w:val="24"/>
          <w:szCs w:val="24"/>
        </w:rPr>
        <w:t xml:space="preserve">, </w:t>
      </w:r>
      <w:r w:rsidRPr="007E72D1">
        <w:rPr>
          <w:color w:val="000000"/>
          <w:sz w:val="24"/>
          <w:szCs w:val="24"/>
        </w:rPr>
        <w:t>have been added for completeness because these interpretations deal with re</w:t>
      </w:r>
      <w:r w:rsidRPr="007E72D1">
        <w:rPr>
          <w:sz w:val="24"/>
          <w:szCs w:val="24"/>
        </w:rPr>
        <w:t>-measurements not already included in the underlying standard   (Interpretations dealing with disclosure issues alone have n</w:t>
      </w:r>
      <w:r w:rsidR="00D613D6" w:rsidRPr="007E72D1">
        <w:rPr>
          <w:sz w:val="24"/>
          <w:szCs w:val="24"/>
        </w:rPr>
        <w:t>ot been added to the rule table</w:t>
      </w:r>
      <w:r w:rsidRPr="007E72D1">
        <w:rPr>
          <w:sz w:val="24"/>
          <w:szCs w:val="24"/>
        </w:rPr>
        <w:t>)</w:t>
      </w:r>
      <w:r w:rsidR="00C21C45" w:rsidRPr="007E72D1">
        <w:rPr>
          <w:sz w:val="24"/>
          <w:szCs w:val="24"/>
        </w:rPr>
        <w:t xml:space="preserve">. </w:t>
      </w:r>
    </w:p>
    <w:p w:rsidR="00B5187E" w:rsidRPr="00622D4F" w:rsidRDefault="00B5187E" w:rsidP="007E72D1">
      <w:pPr>
        <w:pStyle w:val="BodyText"/>
        <w:spacing w:line="240" w:lineRule="auto"/>
        <w:rPr>
          <w:rFonts w:ascii="Times New Roman" w:hAnsi="Times New Roman"/>
          <w:bCs/>
          <w:sz w:val="24"/>
          <w:szCs w:val="24"/>
          <w:lang w:val="en-GB"/>
        </w:rPr>
      </w:pPr>
    </w:p>
    <w:p w:rsidR="005F6179" w:rsidRPr="00622D4F" w:rsidRDefault="00F2625D" w:rsidP="007E72D1">
      <w:pPr>
        <w:pStyle w:val="BodyText"/>
        <w:spacing w:line="240" w:lineRule="auto"/>
        <w:rPr>
          <w:rFonts w:ascii="Times New Roman" w:hAnsi="Times New Roman"/>
          <w:bCs/>
          <w:sz w:val="24"/>
          <w:szCs w:val="24"/>
          <w:lang w:val="en-GB"/>
        </w:rPr>
      </w:pPr>
      <w:r w:rsidRPr="00622D4F">
        <w:rPr>
          <w:rFonts w:ascii="Times New Roman" w:hAnsi="Times New Roman"/>
          <w:bCs/>
          <w:sz w:val="24"/>
          <w:szCs w:val="24"/>
          <w:lang w:val="en-GB"/>
        </w:rPr>
        <w:t xml:space="preserve">SAICA has issued </w:t>
      </w:r>
      <w:r w:rsidR="005F6179" w:rsidRPr="00622D4F">
        <w:rPr>
          <w:rFonts w:ascii="Times New Roman" w:hAnsi="Times New Roman"/>
          <w:bCs/>
          <w:sz w:val="24"/>
          <w:szCs w:val="24"/>
          <w:lang w:val="en-GB"/>
        </w:rPr>
        <w:t>Circular 2</w:t>
      </w:r>
      <w:r w:rsidR="007E7FC1" w:rsidRPr="00622D4F">
        <w:rPr>
          <w:rFonts w:ascii="Times New Roman" w:hAnsi="Times New Roman"/>
          <w:bCs/>
          <w:sz w:val="24"/>
          <w:szCs w:val="24"/>
          <w:lang w:val="en-GB"/>
        </w:rPr>
        <w:t>/</w:t>
      </w:r>
      <w:r w:rsidR="005F6179" w:rsidRPr="00622D4F">
        <w:rPr>
          <w:rFonts w:ascii="Times New Roman" w:hAnsi="Times New Roman"/>
          <w:bCs/>
          <w:sz w:val="24"/>
          <w:szCs w:val="24"/>
          <w:lang w:val="en-GB"/>
        </w:rPr>
        <w:t xml:space="preserve">2013 </w:t>
      </w:r>
      <w:r w:rsidRPr="00622D4F">
        <w:rPr>
          <w:rFonts w:ascii="Times New Roman" w:hAnsi="Times New Roman"/>
          <w:bCs/>
          <w:sz w:val="24"/>
          <w:szCs w:val="24"/>
          <w:lang w:val="en-GB"/>
        </w:rPr>
        <w:t xml:space="preserve">which can </w:t>
      </w:r>
      <w:r w:rsidR="000051F3" w:rsidRPr="00622D4F">
        <w:rPr>
          <w:rFonts w:ascii="Times New Roman" w:hAnsi="Times New Roman"/>
          <w:bCs/>
          <w:sz w:val="24"/>
          <w:szCs w:val="24"/>
          <w:lang w:val="en-GB"/>
        </w:rPr>
        <w:t xml:space="preserve">be viewed at </w:t>
      </w:r>
      <w:hyperlink r:id="rId5" w:history="1">
        <w:r w:rsidR="00622D4F" w:rsidRPr="00622D4F">
          <w:rPr>
            <w:rStyle w:val="Hyperlink"/>
            <w:rFonts w:ascii="Times New Roman" w:hAnsi="Times New Roman"/>
            <w:color w:val="auto"/>
            <w:sz w:val="24"/>
            <w:szCs w:val="24"/>
            <w:u w:val="none"/>
          </w:rPr>
          <w:t>www.saica.co.za/Technical/Financial</w:t>
        </w:r>
      </w:hyperlink>
      <w:r w:rsidR="00622D4F" w:rsidRPr="00622D4F">
        <w:rPr>
          <w:rFonts w:ascii="Times New Roman" w:hAnsi="Times New Roman"/>
          <w:sz w:val="24"/>
          <w:szCs w:val="24"/>
        </w:rPr>
        <w:t xml:space="preserve"> Reporting/Circulars</w:t>
      </w:r>
      <w:r w:rsidR="00622D4F">
        <w:rPr>
          <w:rFonts w:ascii="Times New Roman" w:hAnsi="Times New Roman"/>
          <w:sz w:val="24"/>
          <w:szCs w:val="24"/>
        </w:rPr>
        <w:t>.</w:t>
      </w:r>
    </w:p>
    <w:p w:rsidR="00B94502" w:rsidRPr="000051F3" w:rsidRDefault="00B94502" w:rsidP="007E72D1">
      <w:pPr>
        <w:spacing w:line="240" w:lineRule="auto"/>
        <w:jc w:val="both"/>
        <w:rPr>
          <w:rFonts w:ascii="Times New Roman" w:hAnsi="Times New Roman"/>
          <w:sz w:val="24"/>
          <w:szCs w:val="24"/>
        </w:rPr>
      </w:pPr>
    </w:p>
    <w:p w:rsidR="00473047" w:rsidRPr="007E72D1" w:rsidRDefault="007E72D1" w:rsidP="007E72D1">
      <w:pPr>
        <w:spacing w:line="240" w:lineRule="auto"/>
        <w:jc w:val="both"/>
        <w:rPr>
          <w:rFonts w:ascii="Times New Roman" w:hAnsi="Times New Roman"/>
          <w:sz w:val="24"/>
          <w:szCs w:val="24"/>
        </w:rPr>
      </w:pPr>
      <w:r w:rsidRPr="007E72D1">
        <w:rPr>
          <w:rFonts w:ascii="Times New Roman" w:hAnsi="Times New Roman"/>
          <w:sz w:val="24"/>
          <w:szCs w:val="24"/>
        </w:rPr>
        <w:t xml:space="preserve">14 </w:t>
      </w:r>
      <w:r w:rsidR="001C7DF2" w:rsidRPr="007E72D1">
        <w:rPr>
          <w:rFonts w:ascii="Times New Roman" w:hAnsi="Times New Roman"/>
          <w:sz w:val="24"/>
          <w:szCs w:val="24"/>
        </w:rPr>
        <w:t>August</w:t>
      </w:r>
      <w:r w:rsidR="00E10D80" w:rsidRPr="007E72D1">
        <w:rPr>
          <w:rFonts w:ascii="Times New Roman" w:hAnsi="Times New Roman"/>
          <w:sz w:val="24"/>
          <w:szCs w:val="24"/>
        </w:rPr>
        <w:t xml:space="preserve"> 2013</w:t>
      </w:r>
    </w:p>
    <w:sectPr w:rsidR="00473047" w:rsidRPr="007E72D1" w:rsidSect="00970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234A"/>
    <w:multiLevelType w:val="hybridMultilevel"/>
    <w:tmpl w:val="EBF25C16"/>
    <w:lvl w:ilvl="0" w:tplc="1358820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3F834A3"/>
    <w:multiLevelType w:val="hybridMultilevel"/>
    <w:tmpl w:val="B380DB3E"/>
    <w:lvl w:ilvl="0" w:tplc="6E66BEDC">
      <w:start w:val="1"/>
      <w:numFmt w:val="lowerRoman"/>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C66"/>
    <w:rsid w:val="000051F3"/>
    <w:rsid w:val="000925FD"/>
    <w:rsid w:val="00145968"/>
    <w:rsid w:val="001C5507"/>
    <w:rsid w:val="001C7DF2"/>
    <w:rsid w:val="002176F2"/>
    <w:rsid w:val="00243956"/>
    <w:rsid w:val="00255D79"/>
    <w:rsid w:val="00297FA1"/>
    <w:rsid w:val="002B725E"/>
    <w:rsid w:val="00323D8A"/>
    <w:rsid w:val="0033654F"/>
    <w:rsid w:val="00473047"/>
    <w:rsid w:val="004F0E9D"/>
    <w:rsid w:val="00552265"/>
    <w:rsid w:val="005F6179"/>
    <w:rsid w:val="00622D4F"/>
    <w:rsid w:val="0067738E"/>
    <w:rsid w:val="00691302"/>
    <w:rsid w:val="006C28FF"/>
    <w:rsid w:val="006C7D73"/>
    <w:rsid w:val="006F5F87"/>
    <w:rsid w:val="0073479F"/>
    <w:rsid w:val="0074186D"/>
    <w:rsid w:val="00781CC6"/>
    <w:rsid w:val="007A1EE9"/>
    <w:rsid w:val="007A3848"/>
    <w:rsid w:val="007E72D1"/>
    <w:rsid w:val="007E7FC1"/>
    <w:rsid w:val="00850FFC"/>
    <w:rsid w:val="008B2E28"/>
    <w:rsid w:val="0090450D"/>
    <w:rsid w:val="0092490C"/>
    <w:rsid w:val="00927330"/>
    <w:rsid w:val="00970040"/>
    <w:rsid w:val="009A4CB1"/>
    <w:rsid w:val="009E0DAA"/>
    <w:rsid w:val="00A07213"/>
    <w:rsid w:val="00A660FE"/>
    <w:rsid w:val="00A75E99"/>
    <w:rsid w:val="00AB3DA0"/>
    <w:rsid w:val="00B5187E"/>
    <w:rsid w:val="00B6791B"/>
    <w:rsid w:val="00B74893"/>
    <w:rsid w:val="00B94502"/>
    <w:rsid w:val="00BB2815"/>
    <w:rsid w:val="00BB684B"/>
    <w:rsid w:val="00BF216F"/>
    <w:rsid w:val="00C21C45"/>
    <w:rsid w:val="00C4203B"/>
    <w:rsid w:val="00C53973"/>
    <w:rsid w:val="00C76A15"/>
    <w:rsid w:val="00C93C79"/>
    <w:rsid w:val="00CB2FD7"/>
    <w:rsid w:val="00CD4FD5"/>
    <w:rsid w:val="00D32A85"/>
    <w:rsid w:val="00D613D6"/>
    <w:rsid w:val="00D67C66"/>
    <w:rsid w:val="00D9015F"/>
    <w:rsid w:val="00DF26FE"/>
    <w:rsid w:val="00E00F85"/>
    <w:rsid w:val="00E02943"/>
    <w:rsid w:val="00E10D80"/>
    <w:rsid w:val="00ED0E74"/>
    <w:rsid w:val="00F05A0D"/>
    <w:rsid w:val="00F2625D"/>
    <w:rsid w:val="00F34391"/>
    <w:rsid w:val="00FC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02"/>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47"/>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B74893"/>
    <w:rPr>
      <w:color w:val="0000FF" w:themeColor="hyperlink"/>
      <w:u w:val="single"/>
    </w:rPr>
  </w:style>
  <w:style w:type="paragraph" w:styleId="ListParagraph">
    <w:name w:val="List Paragraph"/>
    <w:basedOn w:val="Normal"/>
    <w:uiPriority w:val="34"/>
    <w:qFormat/>
    <w:rsid w:val="007A1EE9"/>
    <w:pPr>
      <w:spacing w:line="240" w:lineRule="auto"/>
      <w:ind w:left="720"/>
    </w:pPr>
    <w:rPr>
      <w:rFonts w:ascii="Calibri" w:eastAsia="Calibri" w:hAnsi="Calibri"/>
      <w:sz w:val="22"/>
      <w:szCs w:val="22"/>
      <w:lang w:val="en-ZA" w:eastAsia="en-ZA"/>
    </w:rPr>
  </w:style>
  <w:style w:type="paragraph" w:styleId="BodyText">
    <w:name w:val="Body Text"/>
    <w:basedOn w:val="Normal"/>
    <w:link w:val="BodyTextChar"/>
    <w:rsid w:val="00CB2FD7"/>
    <w:pPr>
      <w:spacing w:before="120" w:after="120"/>
      <w:ind w:right="119"/>
      <w:jc w:val="both"/>
    </w:pPr>
    <w:rPr>
      <w:rFonts w:eastAsia="Times New Roman"/>
      <w:lang w:val="en-AU"/>
    </w:rPr>
  </w:style>
  <w:style w:type="character" w:customStyle="1" w:styleId="BodyTextChar">
    <w:name w:val="Body Text Char"/>
    <w:basedOn w:val="DefaultParagraphFont"/>
    <w:link w:val="BodyText"/>
    <w:rsid w:val="00CB2FD7"/>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B51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7E"/>
    <w:rPr>
      <w:rFonts w:ascii="Tahoma" w:eastAsia="Times" w:hAnsi="Tahoma" w:cs="Tahoma"/>
      <w:sz w:val="16"/>
      <w:szCs w:val="16"/>
      <w:lang w:val="en-US"/>
    </w:rPr>
  </w:style>
  <w:style w:type="paragraph" w:styleId="Header">
    <w:name w:val="header"/>
    <w:basedOn w:val="Normal"/>
    <w:link w:val="HeaderChar"/>
    <w:rsid w:val="00B5187E"/>
    <w:pPr>
      <w:tabs>
        <w:tab w:val="center" w:pos="4153"/>
        <w:tab w:val="right" w:pos="8306"/>
      </w:tabs>
      <w:spacing w:line="240" w:lineRule="auto"/>
    </w:pPr>
    <w:rPr>
      <w:rFonts w:ascii="Times New Roman" w:eastAsia="Times New Roman" w:hAnsi="Times New Roman"/>
      <w:lang w:val="en-GB"/>
    </w:rPr>
  </w:style>
  <w:style w:type="character" w:customStyle="1" w:styleId="HeaderChar">
    <w:name w:val="Header Char"/>
    <w:basedOn w:val="DefaultParagraphFont"/>
    <w:link w:val="Header"/>
    <w:rsid w:val="00B5187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ica.co.za/Technical/Fina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alwynf</dc:creator>
  <cp:keywords/>
  <dc:description/>
  <cp:lastModifiedBy>1</cp:lastModifiedBy>
  <cp:revision>7</cp:revision>
  <cp:lastPrinted>2013-08-07T11:36:00Z</cp:lastPrinted>
  <dcterms:created xsi:type="dcterms:W3CDTF">2013-08-08T05:37:00Z</dcterms:created>
  <dcterms:modified xsi:type="dcterms:W3CDTF">2013-08-13T12:27:00Z</dcterms:modified>
</cp:coreProperties>
</file>