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5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BF"/>
      </w:tblPr>
      <w:tblGrid>
        <w:gridCol w:w="4967"/>
        <w:gridCol w:w="7374"/>
      </w:tblGrid>
      <w:tr w:rsidR="00A241AB" w:rsidTr="00AB5C0E">
        <w:tc>
          <w:tcPr>
            <w:tcW w:w="4967" w:type="dxa"/>
          </w:tcPr>
          <w:p w:rsidR="00A241AB" w:rsidRDefault="00A241AB" w:rsidP="00A241AB">
            <w:pPr>
              <w:pStyle w:val="Heading1"/>
            </w:pPr>
            <w:r>
              <w:t>Memorandum</w:t>
            </w:r>
          </w:p>
        </w:tc>
        <w:tc>
          <w:tcPr>
            <w:tcW w:w="7373" w:type="dxa"/>
          </w:tcPr>
          <w:p w:rsidR="00A241AB" w:rsidRDefault="00A241AB" w:rsidP="00A241AB"/>
        </w:tc>
      </w:tr>
      <w:tr w:rsidR="00A241AB" w:rsidTr="00AB5C0E">
        <w:tc>
          <w:tcPr>
            <w:tcW w:w="4967" w:type="dxa"/>
          </w:tcPr>
          <w:p w:rsidR="00A241AB" w:rsidRDefault="00A241AB" w:rsidP="00A241AB"/>
        </w:tc>
        <w:tc>
          <w:tcPr>
            <w:tcW w:w="7373" w:type="dxa"/>
          </w:tcPr>
          <w:p w:rsidR="00A241AB" w:rsidRDefault="00A241AB" w:rsidP="00A241AB"/>
        </w:tc>
      </w:tr>
      <w:tr w:rsidR="00A241AB" w:rsidTr="00AB5C0E">
        <w:tc>
          <w:tcPr>
            <w:tcW w:w="4967" w:type="dxa"/>
          </w:tcPr>
          <w:p w:rsidR="00A241AB" w:rsidRPr="00671F54" w:rsidRDefault="00A241AB" w:rsidP="00247736">
            <w:pPr>
              <w:rPr>
                <w:b/>
              </w:rPr>
            </w:pPr>
            <w:bookmarkStart w:id="0" w:name="To" w:colFirst="1" w:colLast="1"/>
          </w:p>
        </w:tc>
        <w:tc>
          <w:tcPr>
            <w:tcW w:w="7373" w:type="dxa"/>
          </w:tcPr>
          <w:p w:rsidR="00A241AB" w:rsidRDefault="00A241AB" w:rsidP="00A241AB"/>
        </w:tc>
      </w:tr>
      <w:tr w:rsidR="00A241AB" w:rsidTr="00AB5C0E">
        <w:tc>
          <w:tcPr>
            <w:tcW w:w="4967" w:type="dxa"/>
          </w:tcPr>
          <w:p w:rsidR="00A241AB" w:rsidRPr="00671F54" w:rsidRDefault="00A241AB" w:rsidP="00A241AB">
            <w:pPr>
              <w:rPr>
                <w:b/>
              </w:rPr>
            </w:pPr>
            <w:bookmarkStart w:id="1" w:name="From" w:colFirst="1" w:colLast="1"/>
            <w:bookmarkEnd w:id="0"/>
            <w:r w:rsidRPr="00671F54">
              <w:rPr>
                <w:b/>
              </w:rPr>
              <w:t>From:</w:t>
            </w:r>
            <w:r w:rsidR="008327C7">
              <w:rPr>
                <w:b/>
              </w:rPr>
              <w:t xml:space="preserve"> Nicolas Kleovoulou</w:t>
            </w:r>
          </w:p>
        </w:tc>
        <w:tc>
          <w:tcPr>
            <w:tcW w:w="7373" w:type="dxa"/>
          </w:tcPr>
          <w:p w:rsidR="00A241AB" w:rsidRDefault="00A241AB" w:rsidP="00A241AB"/>
        </w:tc>
      </w:tr>
      <w:tr w:rsidR="00A241AB" w:rsidTr="00AB5C0E">
        <w:tc>
          <w:tcPr>
            <w:tcW w:w="4967" w:type="dxa"/>
          </w:tcPr>
          <w:p w:rsidR="00A241AB" w:rsidRPr="00671F54" w:rsidRDefault="00A241AB" w:rsidP="004458D1">
            <w:pPr>
              <w:rPr>
                <w:b/>
              </w:rPr>
            </w:pPr>
            <w:bookmarkStart w:id="2" w:name="Date" w:colFirst="1" w:colLast="1"/>
            <w:bookmarkEnd w:id="1"/>
            <w:r w:rsidRPr="00671F54">
              <w:rPr>
                <w:b/>
              </w:rPr>
              <w:t>Da</w:t>
            </w:r>
            <w:r w:rsidRPr="00376DFC">
              <w:rPr>
                <w:b/>
              </w:rPr>
              <w:t>te:</w:t>
            </w:r>
            <w:r w:rsidR="008327C7" w:rsidRPr="00376DFC">
              <w:rPr>
                <w:b/>
              </w:rPr>
              <w:t xml:space="preserve"> </w:t>
            </w:r>
            <w:r w:rsidR="004458D1" w:rsidRPr="00376DFC">
              <w:rPr>
                <w:b/>
              </w:rPr>
              <w:t>12</w:t>
            </w:r>
            <w:r w:rsidR="008327C7" w:rsidRPr="00376DFC">
              <w:rPr>
                <w:b/>
              </w:rPr>
              <w:t xml:space="preserve"> </w:t>
            </w:r>
            <w:r w:rsidR="004458D1" w:rsidRPr="00376DFC">
              <w:rPr>
                <w:b/>
              </w:rPr>
              <w:t>Decem</w:t>
            </w:r>
            <w:r w:rsidR="00A86694" w:rsidRPr="00376DFC">
              <w:rPr>
                <w:b/>
              </w:rPr>
              <w:t>ber</w:t>
            </w:r>
            <w:r w:rsidR="008327C7" w:rsidRPr="00376DFC">
              <w:rPr>
                <w:b/>
              </w:rPr>
              <w:t xml:space="preserve"> 2013</w:t>
            </w:r>
          </w:p>
        </w:tc>
        <w:tc>
          <w:tcPr>
            <w:tcW w:w="7373" w:type="dxa"/>
          </w:tcPr>
          <w:p w:rsidR="00A241AB" w:rsidRDefault="00A241AB" w:rsidP="00A241AB"/>
        </w:tc>
      </w:tr>
      <w:tr w:rsidR="00A241AB" w:rsidTr="00AB5C0E">
        <w:tc>
          <w:tcPr>
            <w:tcW w:w="4967" w:type="dxa"/>
          </w:tcPr>
          <w:p w:rsidR="00A241AB" w:rsidRPr="00671F54" w:rsidRDefault="00A241AB" w:rsidP="00A241AB">
            <w:pPr>
              <w:rPr>
                <w:b/>
              </w:rPr>
            </w:pPr>
            <w:bookmarkStart w:id="3" w:name="Re" w:colFirst="1" w:colLast="1"/>
            <w:bookmarkEnd w:id="2"/>
            <w:r w:rsidRPr="00671F54">
              <w:rPr>
                <w:b/>
              </w:rPr>
              <w:t>Subject:</w:t>
            </w:r>
            <w:r w:rsidR="008327C7">
              <w:rPr>
                <w:b/>
              </w:rPr>
              <w:t xml:space="preserve"> Section 19 – Specialist Securities</w:t>
            </w:r>
          </w:p>
        </w:tc>
        <w:tc>
          <w:tcPr>
            <w:tcW w:w="7373" w:type="dxa"/>
          </w:tcPr>
          <w:p w:rsidR="00A241AB" w:rsidRDefault="00A241AB" w:rsidP="00A241AB"/>
        </w:tc>
      </w:tr>
      <w:bookmarkEnd w:id="3"/>
      <w:tr w:rsidR="00A241AB" w:rsidTr="00AB5C0E">
        <w:tc>
          <w:tcPr>
            <w:tcW w:w="4967" w:type="dxa"/>
            <w:tcBorders>
              <w:bottom w:val="single" w:sz="4" w:space="0" w:color="333333"/>
            </w:tcBorders>
          </w:tcPr>
          <w:p w:rsidR="00A241AB" w:rsidRDefault="00A241AB" w:rsidP="00A241AB"/>
        </w:tc>
        <w:tc>
          <w:tcPr>
            <w:tcW w:w="7373" w:type="dxa"/>
            <w:tcBorders>
              <w:bottom w:val="single" w:sz="4" w:space="0" w:color="333333"/>
            </w:tcBorders>
          </w:tcPr>
          <w:p w:rsidR="00A241AB" w:rsidRDefault="00A241AB" w:rsidP="00A241AB"/>
        </w:tc>
      </w:tr>
    </w:tbl>
    <w:p w:rsidR="00A241AB" w:rsidRDefault="00A241AB" w:rsidP="00682A02">
      <w:pPr>
        <w:jc w:val="both"/>
      </w:pPr>
    </w:p>
    <w:p w:rsidR="008327C7" w:rsidRPr="005F7B02" w:rsidRDefault="008327C7" w:rsidP="00A26FF8">
      <w:pPr>
        <w:jc w:val="both"/>
        <w:rPr>
          <w:rFonts w:cs="Arial"/>
          <w:i/>
          <w:color w:val="404040" w:themeColor="text1" w:themeTint="BF"/>
          <w:u w:val="single"/>
        </w:rPr>
      </w:pPr>
      <w:r w:rsidRPr="005F7B02">
        <w:rPr>
          <w:rFonts w:cs="Arial"/>
          <w:i/>
          <w:color w:val="404040" w:themeColor="text1" w:themeTint="BF"/>
          <w:u w:val="single"/>
        </w:rPr>
        <w:t>Background</w:t>
      </w:r>
    </w:p>
    <w:p w:rsidR="008327C7" w:rsidRPr="005F7B02" w:rsidRDefault="008327C7" w:rsidP="00A26FF8">
      <w:pPr>
        <w:jc w:val="both"/>
        <w:rPr>
          <w:rFonts w:cs="Arial"/>
          <w:i/>
          <w:color w:val="404040" w:themeColor="text1" w:themeTint="BF"/>
        </w:rPr>
      </w:pPr>
    </w:p>
    <w:p w:rsidR="00BE50BE" w:rsidRPr="005F7B02" w:rsidRDefault="008327C7" w:rsidP="00A26FF8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>Given the innovation and developments in the market since Section 19</w:t>
      </w:r>
      <w:r w:rsidR="002402A6">
        <w:rPr>
          <w:rFonts w:cs="Arial"/>
          <w:color w:val="404040" w:themeColor="text1" w:themeTint="BF"/>
        </w:rPr>
        <w:t xml:space="preserve"> of the JSE Listing Requirements</w:t>
      </w:r>
      <w:r w:rsidRPr="005F7B02">
        <w:rPr>
          <w:rFonts w:cs="Arial"/>
          <w:color w:val="404040" w:themeColor="text1" w:themeTint="BF"/>
        </w:rPr>
        <w:t xml:space="preserve"> was initially drafted, the </w:t>
      </w:r>
      <w:r w:rsidR="00406587" w:rsidRPr="005F7B02">
        <w:rPr>
          <w:rFonts w:cs="Arial"/>
          <w:color w:val="404040" w:themeColor="text1" w:themeTint="BF"/>
        </w:rPr>
        <w:t>J</w:t>
      </w:r>
      <w:r w:rsidR="002402A6">
        <w:rPr>
          <w:rFonts w:cs="Arial"/>
          <w:color w:val="404040" w:themeColor="text1" w:themeTint="BF"/>
        </w:rPr>
        <w:t>ohannesburg Stock Exchange (</w:t>
      </w:r>
      <w:r w:rsidR="00BA71CE">
        <w:rPr>
          <w:rFonts w:cs="Arial"/>
          <w:color w:val="404040" w:themeColor="text1" w:themeTint="BF"/>
        </w:rPr>
        <w:t>“</w:t>
      </w:r>
      <w:r w:rsidR="002402A6">
        <w:rPr>
          <w:rFonts w:cs="Arial"/>
          <w:color w:val="404040" w:themeColor="text1" w:themeTint="BF"/>
        </w:rPr>
        <w:t>J</w:t>
      </w:r>
      <w:r w:rsidR="00406587" w:rsidRPr="005F7B02">
        <w:rPr>
          <w:rFonts w:cs="Arial"/>
          <w:color w:val="404040" w:themeColor="text1" w:themeTint="BF"/>
        </w:rPr>
        <w:t>SE</w:t>
      </w:r>
      <w:r w:rsidR="00BA71CE">
        <w:rPr>
          <w:rFonts w:cs="Arial"/>
          <w:color w:val="404040" w:themeColor="text1" w:themeTint="BF"/>
        </w:rPr>
        <w:t>”</w:t>
      </w:r>
      <w:r w:rsidR="002402A6">
        <w:rPr>
          <w:rFonts w:cs="Arial"/>
          <w:color w:val="404040" w:themeColor="text1" w:themeTint="BF"/>
        </w:rPr>
        <w:t>)</w:t>
      </w:r>
      <w:r w:rsidR="00406587" w:rsidRPr="005F7B02">
        <w:rPr>
          <w:rFonts w:cs="Arial"/>
          <w:color w:val="404040" w:themeColor="text1" w:themeTint="BF"/>
        </w:rPr>
        <w:t xml:space="preserve"> is proposing certain amendments to this section and has also restructured the section to prevent repetition of requirements.  The JSE is also proposing specific requirements for </w:t>
      </w:r>
      <w:r w:rsidR="002402A6">
        <w:rPr>
          <w:rFonts w:cs="Arial"/>
          <w:color w:val="404040" w:themeColor="text1" w:themeTint="BF"/>
        </w:rPr>
        <w:t>Exchange Traded Notes (“</w:t>
      </w:r>
      <w:r w:rsidR="00406587" w:rsidRPr="005F7B02">
        <w:rPr>
          <w:rFonts w:cs="Arial"/>
          <w:color w:val="404040" w:themeColor="text1" w:themeTint="BF"/>
        </w:rPr>
        <w:t>ETNs</w:t>
      </w:r>
      <w:r w:rsidR="002402A6">
        <w:rPr>
          <w:rFonts w:cs="Arial"/>
          <w:color w:val="404040" w:themeColor="text1" w:themeTint="BF"/>
        </w:rPr>
        <w:t>”)</w:t>
      </w:r>
      <w:r w:rsidR="00406587" w:rsidRPr="005F7B02">
        <w:rPr>
          <w:rFonts w:cs="Arial"/>
          <w:color w:val="404040" w:themeColor="text1" w:themeTint="BF"/>
        </w:rPr>
        <w:t xml:space="preserve">, </w:t>
      </w:r>
      <w:r w:rsidR="00AD7F7A" w:rsidRPr="005F7B02">
        <w:rPr>
          <w:rFonts w:cs="Arial"/>
          <w:color w:val="404040" w:themeColor="text1" w:themeTint="BF"/>
        </w:rPr>
        <w:t>s</w:t>
      </w:r>
      <w:r w:rsidR="00406587" w:rsidRPr="005F7B02">
        <w:rPr>
          <w:rFonts w:cs="Arial"/>
          <w:color w:val="404040" w:themeColor="text1" w:themeTint="BF"/>
        </w:rPr>
        <w:t xml:space="preserve">tructured </w:t>
      </w:r>
      <w:r w:rsidR="00AD7F7A" w:rsidRPr="005F7B02">
        <w:rPr>
          <w:rFonts w:cs="Arial"/>
          <w:color w:val="404040" w:themeColor="text1" w:themeTint="BF"/>
        </w:rPr>
        <w:t>p</w:t>
      </w:r>
      <w:r w:rsidR="00406587" w:rsidRPr="005F7B02">
        <w:rPr>
          <w:rFonts w:cs="Arial"/>
          <w:color w:val="404040" w:themeColor="text1" w:themeTint="BF"/>
        </w:rPr>
        <w:t xml:space="preserve">roducts and </w:t>
      </w:r>
      <w:r w:rsidR="00AD7F7A" w:rsidRPr="005F7B02">
        <w:rPr>
          <w:rFonts w:cs="Arial"/>
          <w:color w:val="404040" w:themeColor="text1" w:themeTint="BF"/>
        </w:rPr>
        <w:t>u</w:t>
      </w:r>
      <w:r w:rsidR="00406587" w:rsidRPr="005F7B02">
        <w:rPr>
          <w:rFonts w:cs="Arial"/>
          <w:color w:val="404040" w:themeColor="text1" w:themeTint="BF"/>
        </w:rPr>
        <w:t>nsponsored D</w:t>
      </w:r>
      <w:r w:rsidR="00BE50BE" w:rsidRPr="005F7B02">
        <w:rPr>
          <w:rFonts w:cs="Arial"/>
          <w:color w:val="404040" w:themeColor="text1" w:themeTint="BF"/>
        </w:rPr>
        <w:t xml:space="preserve">epository </w:t>
      </w:r>
      <w:r w:rsidR="00406587" w:rsidRPr="005F7B02">
        <w:rPr>
          <w:rFonts w:cs="Arial"/>
          <w:color w:val="404040" w:themeColor="text1" w:themeTint="BF"/>
        </w:rPr>
        <w:t>R</w:t>
      </w:r>
      <w:r w:rsidR="00BE50BE" w:rsidRPr="005F7B02">
        <w:rPr>
          <w:rFonts w:cs="Arial"/>
          <w:color w:val="404040" w:themeColor="text1" w:themeTint="BF"/>
        </w:rPr>
        <w:t>eceipts (“DRs”)</w:t>
      </w:r>
      <w:r w:rsidR="00406587" w:rsidRPr="005F7B02">
        <w:rPr>
          <w:rFonts w:cs="Arial"/>
          <w:color w:val="404040" w:themeColor="text1" w:themeTint="BF"/>
        </w:rPr>
        <w:t>.</w:t>
      </w:r>
    </w:p>
    <w:p w:rsidR="00B52764" w:rsidRPr="005F7B02" w:rsidRDefault="00406587" w:rsidP="00A26FF8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 xml:space="preserve"> </w:t>
      </w:r>
    </w:p>
    <w:p w:rsidR="00B52764" w:rsidRPr="005F7B02" w:rsidRDefault="00B52764" w:rsidP="00A26FF8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 xml:space="preserve">The requirements relating to index disclosures and acceptable index calculators [S19.31 – S19.41], have </w:t>
      </w:r>
      <w:r w:rsidR="002402A6">
        <w:rPr>
          <w:rFonts w:cs="Arial"/>
          <w:color w:val="404040" w:themeColor="text1" w:themeTint="BF"/>
        </w:rPr>
        <w:t>previously</w:t>
      </w:r>
      <w:r w:rsidRPr="005F7B02">
        <w:rPr>
          <w:rFonts w:cs="Arial"/>
          <w:color w:val="404040" w:themeColor="text1" w:themeTint="BF"/>
        </w:rPr>
        <w:t xml:space="preserve"> undergone comment by the Advisory Committee and public consultation </w:t>
      </w:r>
      <w:r w:rsidR="002402A6">
        <w:rPr>
          <w:rFonts w:cs="Arial"/>
          <w:color w:val="404040" w:themeColor="text1" w:themeTint="BF"/>
        </w:rPr>
        <w:t xml:space="preserve">and have </w:t>
      </w:r>
      <w:r w:rsidRPr="005F7B02">
        <w:rPr>
          <w:rFonts w:cs="Arial"/>
          <w:color w:val="404040" w:themeColor="text1" w:themeTint="BF"/>
        </w:rPr>
        <w:t xml:space="preserve"> </w:t>
      </w:r>
      <w:r w:rsidR="001328BB" w:rsidRPr="005F7B02">
        <w:rPr>
          <w:rFonts w:cs="Arial"/>
          <w:color w:val="404040" w:themeColor="text1" w:themeTint="BF"/>
        </w:rPr>
        <w:t xml:space="preserve">now </w:t>
      </w:r>
      <w:r w:rsidRPr="005F7B02">
        <w:rPr>
          <w:rFonts w:cs="Arial"/>
          <w:color w:val="404040" w:themeColor="text1" w:themeTint="BF"/>
        </w:rPr>
        <w:t>been incorporated into the proposed Section 19</w:t>
      </w:r>
      <w:r w:rsidR="002402A6">
        <w:rPr>
          <w:rFonts w:cs="Arial"/>
          <w:color w:val="404040" w:themeColor="text1" w:themeTint="BF"/>
        </w:rPr>
        <w:t>. N</w:t>
      </w:r>
      <w:r w:rsidR="00DB03B7">
        <w:rPr>
          <w:rFonts w:cs="Arial"/>
          <w:color w:val="404040" w:themeColor="text1" w:themeTint="BF"/>
        </w:rPr>
        <w:t>o further comment is required in relation to this section.</w:t>
      </w:r>
    </w:p>
    <w:p w:rsidR="00682A02" w:rsidRPr="005F7B02" w:rsidRDefault="00682A02" w:rsidP="00A26FF8">
      <w:pPr>
        <w:jc w:val="both"/>
        <w:rPr>
          <w:rFonts w:cs="Arial"/>
          <w:color w:val="404040" w:themeColor="text1" w:themeTint="BF"/>
        </w:rPr>
      </w:pPr>
    </w:p>
    <w:p w:rsidR="00682A02" w:rsidRPr="005F7B02" w:rsidRDefault="00682A02" w:rsidP="00A26FF8">
      <w:pPr>
        <w:jc w:val="both"/>
        <w:rPr>
          <w:rFonts w:cs="Arial"/>
          <w:i/>
          <w:color w:val="404040" w:themeColor="text1" w:themeTint="BF"/>
          <w:u w:val="single"/>
        </w:rPr>
      </w:pPr>
      <w:r w:rsidRPr="005F7B02">
        <w:rPr>
          <w:rFonts w:cs="Arial"/>
          <w:i/>
          <w:color w:val="404040" w:themeColor="text1" w:themeTint="BF"/>
          <w:u w:val="single"/>
        </w:rPr>
        <w:t xml:space="preserve">The Proposed </w:t>
      </w:r>
      <w:r w:rsidR="00406587" w:rsidRPr="005F7B02">
        <w:rPr>
          <w:rFonts w:cs="Arial"/>
          <w:i/>
          <w:color w:val="404040" w:themeColor="text1" w:themeTint="BF"/>
          <w:u w:val="single"/>
        </w:rPr>
        <w:t>Section 19 Structure</w:t>
      </w:r>
    </w:p>
    <w:p w:rsidR="00682A02" w:rsidRPr="005F7B02" w:rsidRDefault="00682A02" w:rsidP="00A26FF8">
      <w:pPr>
        <w:jc w:val="both"/>
        <w:rPr>
          <w:rFonts w:cs="Arial"/>
          <w:i/>
          <w:color w:val="404040" w:themeColor="text1" w:themeTint="BF"/>
          <w:u w:val="single"/>
        </w:rPr>
      </w:pPr>
    </w:p>
    <w:p w:rsidR="00682A02" w:rsidRPr="005F7B02" w:rsidRDefault="00F47E51" w:rsidP="00A26FF8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 xml:space="preserve">The proposed </w:t>
      </w:r>
      <w:r w:rsidR="00406587" w:rsidRPr="005F7B02">
        <w:rPr>
          <w:rFonts w:cs="Arial"/>
          <w:color w:val="404040" w:themeColor="text1" w:themeTint="BF"/>
        </w:rPr>
        <w:t xml:space="preserve">Section 19 </w:t>
      </w:r>
      <w:r w:rsidRPr="005F7B02">
        <w:rPr>
          <w:rFonts w:cs="Arial"/>
          <w:color w:val="404040" w:themeColor="text1" w:themeTint="BF"/>
        </w:rPr>
        <w:t xml:space="preserve">has been restructured to include </w:t>
      </w:r>
      <w:r w:rsidR="00406587" w:rsidRPr="005F7B02">
        <w:rPr>
          <w:rFonts w:cs="Arial"/>
          <w:color w:val="404040" w:themeColor="text1" w:themeTint="BF"/>
        </w:rPr>
        <w:t>a</w:t>
      </w:r>
      <w:r w:rsidRPr="005F7B02">
        <w:rPr>
          <w:rFonts w:cs="Arial"/>
          <w:color w:val="404040" w:themeColor="text1" w:themeTint="BF"/>
        </w:rPr>
        <w:t xml:space="preserve"> definitions section, a general disclosure section</w:t>
      </w:r>
      <w:r w:rsidR="00D8690A" w:rsidRPr="005F7B02">
        <w:rPr>
          <w:rFonts w:cs="Arial"/>
          <w:color w:val="404040" w:themeColor="text1" w:themeTint="BF"/>
        </w:rPr>
        <w:t xml:space="preserve"> applicable to the listing documentation</w:t>
      </w:r>
      <w:r w:rsidRPr="005F7B02">
        <w:rPr>
          <w:rFonts w:cs="Arial"/>
          <w:color w:val="404040" w:themeColor="text1" w:themeTint="BF"/>
        </w:rPr>
        <w:t xml:space="preserve">, </w:t>
      </w:r>
      <w:r w:rsidR="00AC3E4B" w:rsidRPr="005F7B02">
        <w:rPr>
          <w:rFonts w:cs="Arial"/>
          <w:color w:val="404040" w:themeColor="text1" w:themeTint="BF"/>
        </w:rPr>
        <w:t xml:space="preserve">a continuing obligations section </w:t>
      </w:r>
      <w:r w:rsidR="002402A6">
        <w:rPr>
          <w:rFonts w:cs="Arial"/>
          <w:color w:val="404040" w:themeColor="text1" w:themeTint="BF"/>
        </w:rPr>
        <w:t xml:space="preserve">and a section covering </w:t>
      </w:r>
      <w:r w:rsidRPr="005F7B02">
        <w:rPr>
          <w:rFonts w:cs="Arial"/>
          <w:color w:val="404040" w:themeColor="text1" w:themeTint="BF"/>
        </w:rPr>
        <w:t xml:space="preserve">other general requirements which </w:t>
      </w:r>
      <w:r w:rsidR="00BA71CE">
        <w:rPr>
          <w:rFonts w:cs="Arial"/>
          <w:color w:val="404040" w:themeColor="text1" w:themeTint="BF"/>
        </w:rPr>
        <w:t>applies to</w:t>
      </w:r>
      <w:r w:rsidR="006729B9">
        <w:rPr>
          <w:rFonts w:cs="Arial"/>
          <w:color w:val="404040" w:themeColor="text1" w:themeTint="BF"/>
        </w:rPr>
        <w:t xml:space="preserve"> </w:t>
      </w:r>
      <w:r w:rsidRPr="005F7B02">
        <w:rPr>
          <w:rFonts w:cs="Arial"/>
          <w:color w:val="404040" w:themeColor="text1" w:themeTint="BF"/>
        </w:rPr>
        <w:t>all securities. The ratio</w:t>
      </w:r>
      <w:r w:rsidR="00AF44B7" w:rsidRPr="005F7B02">
        <w:rPr>
          <w:rFonts w:cs="Arial"/>
          <w:color w:val="404040" w:themeColor="text1" w:themeTint="BF"/>
        </w:rPr>
        <w:t xml:space="preserve">nale </w:t>
      </w:r>
      <w:r w:rsidR="002402A6">
        <w:rPr>
          <w:rFonts w:cs="Arial"/>
          <w:color w:val="404040" w:themeColor="text1" w:themeTint="BF"/>
        </w:rPr>
        <w:t>for</w:t>
      </w:r>
      <w:r w:rsidRPr="005F7B02">
        <w:rPr>
          <w:rFonts w:cs="Arial"/>
          <w:color w:val="404040" w:themeColor="text1" w:themeTint="BF"/>
        </w:rPr>
        <w:t xml:space="preserve"> this</w:t>
      </w:r>
      <w:r w:rsidR="00AF44B7" w:rsidRPr="005F7B02">
        <w:rPr>
          <w:rFonts w:cs="Arial"/>
          <w:color w:val="404040" w:themeColor="text1" w:themeTint="BF"/>
        </w:rPr>
        <w:t xml:space="preserve"> approach</w:t>
      </w:r>
      <w:r w:rsidRPr="005F7B02">
        <w:rPr>
          <w:rFonts w:cs="Arial"/>
          <w:color w:val="404040" w:themeColor="text1" w:themeTint="BF"/>
        </w:rPr>
        <w:t xml:space="preserve"> is to avoid having to repeat generic disclosure requirements for new instruments</w:t>
      </w:r>
      <w:r w:rsidR="00D8690A" w:rsidRPr="005F7B02">
        <w:rPr>
          <w:rFonts w:cs="Arial"/>
          <w:color w:val="404040" w:themeColor="text1" w:themeTint="BF"/>
        </w:rPr>
        <w:t xml:space="preserve"> in future</w:t>
      </w:r>
      <w:r w:rsidRPr="005F7B02">
        <w:rPr>
          <w:rFonts w:cs="Arial"/>
          <w:color w:val="404040" w:themeColor="text1" w:themeTint="BF"/>
        </w:rPr>
        <w:t>. The proposed section thus include</w:t>
      </w:r>
      <w:r w:rsidR="002402A6">
        <w:rPr>
          <w:rFonts w:cs="Arial"/>
          <w:color w:val="404040" w:themeColor="text1" w:themeTint="BF"/>
        </w:rPr>
        <w:t>s</w:t>
      </w:r>
      <w:r w:rsidRPr="005F7B02">
        <w:rPr>
          <w:rFonts w:cs="Arial"/>
          <w:color w:val="404040" w:themeColor="text1" w:themeTint="BF"/>
        </w:rPr>
        <w:t xml:space="preserve"> instrument</w:t>
      </w:r>
      <w:r w:rsidR="002402A6">
        <w:rPr>
          <w:rFonts w:cs="Arial"/>
          <w:color w:val="404040" w:themeColor="text1" w:themeTint="BF"/>
        </w:rPr>
        <w:t>-</w:t>
      </w:r>
      <w:r w:rsidRPr="005F7B02">
        <w:rPr>
          <w:rFonts w:cs="Arial"/>
          <w:color w:val="404040" w:themeColor="text1" w:themeTint="BF"/>
        </w:rPr>
        <w:t>specific requirements</w:t>
      </w:r>
      <w:r w:rsidR="00D8690A" w:rsidRPr="005F7B02">
        <w:rPr>
          <w:rFonts w:cs="Arial"/>
          <w:color w:val="404040" w:themeColor="text1" w:themeTint="BF"/>
        </w:rPr>
        <w:t xml:space="preserve"> under their own respective headings</w:t>
      </w:r>
      <w:r w:rsidRPr="005F7B02">
        <w:rPr>
          <w:rFonts w:cs="Arial"/>
          <w:color w:val="404040" w:themeColor="text1" w:themeTint="BF"/>
        </w:rPr>
        <w:t>, cross-refer</w:t>
      </w:r>
      <w:r w:rsidR="001D31E0">
        <w:rPr>
          <w:rFonts w:cs="Arial"/>
          <w:color w:val="404040" w:themeColor="text1" w:themeTint="BF"/>
        </w:rPr>
        <w:t>ring</w:t>
      </w:r>
      <w:r w:rsidRPr="005F7B02">
        <w:rPr>
          <w:rFonts w:cs="Arial"/>
          <w:color w:val="404040" w:themeColor="text1" w:themeTint="BF"/>
        </w:rPr>
        <w:t xml:space="preserve"> to the general requirements section where applicable. This allows for easier reading</w:t>
      </w:r>
      <w:r w:rsidR="001D31E0">
        <w:rPr>
          <w:rFonts w:cs="Arial"/>
          <w:color w:val="404040" w:themeColor="text1" w:themeTint="BF"/>
        </w:rPr>
        <w:t xml:space="preserve">, giving the reader </w:t>
      </w:r>
      <w:r w:rsidRPr="005F7B02">
        <w:rPr>
          <w:rFonts w:cs="Arial"/>
          <w:color w:val="404040" w:themeColor="text1" w:themeTint="BF"/>
        </w:rPr>
        <w:t>a c</w:t>
      </w:r>
      <w:r w:rsidR="00D8690A" w:rsidRPr="005F7B02">
        <w:rPr>
          <w:rFonts w:cs="Arial"/>
          <w:color w:val="404040" w:themeColor="text1" w:themeTint="BF"/>
        </w:rPr>
        <w:t>learer distinction</w:t>
      </w:r>
      <w:r w:rsidRPr="005F7B02">
        <w:rPr>
          <w:rFonts w:cs="Arial"/>
          <w:color w:val="404040" w:themeColor="text1" w:themeTint="BF"/>
        </w:rPr>
        <w:t xml:space="preserve"> </w:t>
      </w:r>
      <w:r w:rsidR="001D31E0">
        <w:rPr>
          <w:rFonts w:cs="Arial"/>
          <w:color w:val="404040" w:themeColor="text1" w:themeTint="BF"/>
        </w:rPr>
        <w:t xml:space="preserve">between </w:t>
      </w:r>
      <w:r w:rsidRPr="005F7B02">
        <w:rPr>
          <w:rFonts w:cs="Arial"/>
          <w:color w:val="404040" w:themeColor="text1" w:themeTint="BF"/>
        </w:rPr>
        <w:t xml:space="preserve">requirements applicable to </w:t>
      </w:r>
      <w:r w:rsidR="001D31E0">
        <w:rPr>
          <w:rFonts w:cs="Arial"/>
          <w:color w:val="404040" w:themeColor="text1" w:themeTint="BF"/>
        </w:rPr>
        <w:t>each</w:t>
      </w:r>
      <w:r w:rsidRPr="005F7B02">
        <w:rPr>
          <w:rFonts w:cs="Arial"/>
          <w:color w:val="404040" w:themeColor="text1" w:themeTint="BF"/>
        </w:rPr>
        <w:t xml:space="preserve"> instrument.</w:t>
      </w:r>
    </w:p>
    <w:p w:rsidR="00F47E51" w:rsidRPr="005F7B02" w:rsidRDefault="00F47E51" w:rsidP="00A26FF8">
      <w:pPr>
        <w:jc w:val="both"/>
        <w:rPr>
          <w:rFonts w:cs="Arial"/>
          <w:color w:val="404040" w:themeColor="text1" w:themeTint="BF"/>
        </w:rPr>
      </w:pPr>
    </w:p>
    <w:p w:rsidR="009825F6" w:rsidRPr="005F7B02" w:rsidRDefault="00471430" w:rsidP="00A26FF8">
      <w:pPr>
        <w:pStyle w:val="ListParagraph"/>
        <w:ind w:left="0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u w:val="single"/>
        </w:rPr>
      </w:pPr>
      <w:r w:rsidRPr="005F7B02">
        <w:rPr>
          <w:rFonts w:ascii="Arial" w:hAnsi="Arial" w:cs="Arial"/>
          <w:i/>
          <w:color w:val="404040" w:themeColor="text1" w:themeTint="BF"/>
          <w:sz w:val="20"/>
          <w:szCs w:val="20"/>
          <w:u w:val="single"/>
        </w:rPr>
        <w:t>Amendments</w:t>
      </w:r>
    </w:p>
    <w:p w:rsidR="00A05078" w:rsidRPr="005F7B02" w:rsidRDefault="00A05078" w:rsidP="00A26FF8">
      <w:pPr>
        <w:pStyle w:val="ListParagraph"/>
        <w:ind w:left="0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u w:val="single"/>
        </w:rPr>
      </w:pPr>
    </w:p>
    <w:p w:rsidR="008341A3" w:rsidRPr="005F7B02" w:rsidRDefault="00AC3E4B" w:rsidP="00A26FF8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The JSE propose</w:t>
      </w:r>
      <w:r w:rsidR="00662345">
        <w:rPr>
          <w:rFonts w:ascii="Arial" w:hAnsi="Arial" w:cs="Arial"/>
          <w:color w:val="404040" w:themeColor="text1" w:themeTint="BF"/>
          <w:sz w:val="20"/>
          <w:szCs w:val="20"/>
        </w:rPr>
        <w:t>s of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the following</w:t>
      </w:r>
      <w:r w:rsidR="004458D1">
        <w:rPr>
          <w:rFonts w:ascii="Arial" w:hAnsi="Arial" w:cs="Arial"/>
          <w:color w:val="404040" w:themeColor="text1" w:themeTint="BF"/>
          <w:sz w:val="20"/>
          <w:szCs w:val="20"/>
        </w:rPr>
        <w:t xml:space="preserve"> material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amendments to the </w:t>
      </w:r>
      <w:r w:rsidR="004458D1">
        <w:rPr>
          <w:rFonts w:ascii="Arial" w:hAnsi="Arial" w:cs="Arial"/>
          <w:color w:val="404040" w:themeColor="text1" w:themeTint="BF"/>
          <w:sz w:val="20"/>
          <w:szCs w:val="20"/>
        </w:rPr>
        <w:t>existing</w:t>
      </w:r>
      <w:r w:rsidR="004458D1"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Section 19:</w:t>
      </w:r>
    </w:p>
    <w:p w:rsidR="00AC3ACB" w:rsidRPr="005F7B02" w:rsidRDefault="00AC3ACB" w:rsidP="00A26FF8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C3ACB" w:rsidRPr="005F7B02" w:rsidRDefault="006B7A06" w:rsidP="00AC3AC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General section</w:t>
      </w:r>
    </w:p>
    <w:p w:rsidR="00B452E8" w:rsidRDefault="00B452E8" w:rsidP="00AC3AC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S19.10(a) limits issuers to banking institutions</w:t>
      </w:r>
      <w:r w:rsidR="007A457F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AC3ACB" w:rsidRPr="00B452E8" w:rsidRDefault="00AC3ACB" w:rsidP="00AC3AC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452E8">
        <w:rPr>
          <w:rFonts w:ascii="Arial" w:hAnsi="Arial" w:cs="Arial"/>
          <w:color w:val="404040" w:themeColor="text1" w:themeTint="BF"/>
          <w:sz w:val="20"/>
          <w:szCs w:val="20"/>
        </w:rPr>
        <w:t xml:space="preserve">The requirement for a credit rating for </w:t>
      </w:r>
      <w:r w:rsidR="00936582">
        <w:rPr>
          <w:rFonts w:ascii="Arial" w:hAnsi="Arial" w:cs="Arial"/>
          <w:color w:val="404040" w:themeColor="text1" w:themeTint="BF"/>
          <w:sz w:val="20"/>
          <w:szCs w:val="20"/>
        </w:rPr>
        <w:t xml:space="preserve">warrant issuers has </w:t>
      </w:r>
      <w:r w:rsidR="00936582" w:rsidRPr="00B452E8">
        <w:rPr>
          <w:rFonts w:ascii="Arial" w:hAnsi="Arial" w:cs="Arial"/>
          <w:color w:val="404040" w:themeColor="text1" w:themeTint="BF"/>
          <w:sz w:val="20"/>
          <w:szCs w:val="20"/>
        </w:rPr>
        <w:t>been removed but the issuer must disclose th</w:t>
      </w:r>
      <w:r w:rsidR="00936582">
        <w:rPr>
          <w:rFonts w:ascii="Arial" w:hAnsi="Arial" w:cs="Arial"/>
          <w:color w:val="404040" w:themeColor="text1" w:themeTint="BF"/>
          <w:sz w:val="20"/>
          <w:szCs w:val="20"/>
        </w:rPr>
        <w:t xml:space="preserve">e rating if it has obtained one. This will now impact all </w:t>
      </w:r>
      <w:r w:rsidRPr="00B452E8">
        <w:rPr>
          <w:rFonts w:ascii="Arial" w:hAnsi="Arial" w:cs="Arial"/>
          <w:color w:val="404040" w:themeColor="text1" w:themeTint="BF"/>
          <w:sz w:val="20"/>
          <w:szCs w:val="20"/>
        </w:rPr>
        <w:t>products issued off the back of the issuer’s balance sheet such as warrants, structured products</w:t>
      </w:r>
      <w:r w:rsidR="001D31E0">
        <w:rPr>
          <w:rFonts w:ascii="Arial" w:hAnsi="Arial" w:cs="Arial"/>
          <w:color w:val="404040" w:themeColor="text1" w:themeTint="BF"/>
          <w:sz w:val="20"/>
          <w:szCs w:val="20"/>
        </w:rPr>
        <w:t xml:space="preserve"> and</w:t>
      </w:r>
      <w:r w:rsidRPr="00B452E8">
        <w:rPr>
          <w:rFonts w:ascii="Arial" w:hAnsi="Arial" w:cs="Arial"/>
          <w:color w:val="404040" w:themeColor="text1" w:themeTint="BF"/>
          <w:sz w:val="20"/>
          <w:szCs w:val="20"/>
        </w:rPr>
        <w:t xml:space="preserve"> ETNs</w:t>
      </w:r>
      <w:r w:rsidR="007A457F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AC3ACB" w:rsidRPr="005F7B02" w:rsidRDefault="00AC3ACB" w:rsidP="00AC3AC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The continuing obligations for every instrument under S19 ha</w:t>
      </w:r>
      <w:r w:rsidR="001D31E0">
        <w:rPr>
          <w:rFonts w:ascii="Arial" w:hAnsi="Arial" w:cs="Arial"/>
          <w:color w:val="404040" w:themeColor="text1" w:themeTint="BF"/>
          <w:sz w:val="20"/>
          <w:szCs w:val="20"/>
        </w:rPr>
        <w:t>ve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been assessed. We now have generic</w:t>
      </w:r>
      <w:r w:rsidR="001D31E0">
        <w:rPr>
          <w:rFonts w:ascii="Arial" w:hAnsi="Arial" w:cs="Arial"/>
          <w:color w:val="404040" w:themeColor="text1" w:themeTint="BF"/>
          <w:sz w:val="20"/>
          <w:szCs w:val="20"/>
        </w:rPr>
        <w:t xml:space="preserve"> and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instrument-specific continuing obligations sections</w:t>
      </w:r>
      <w:r w:rsidR="009D6117"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Specific exclusions have </w:t>
      </w:r>
      <w:r w:rsidR="00E67D1E">
        <w:rPr>
          <w:rFonts w:ascii="Arial" w:hAnsi="Arial" w:cs="Arial"/>
          <w:color w:val="404040" w:themeColor="text1" w:themeTint="BF"/>
          <w:sz w:val="20"/>
          <w:szCs w:val="20"/>
        </w:rPr>
        <w:t>been provided for under S19.20(</w:t>
      </w:r>
      <w:proofErr w:type="spellStart"/>
      <w:r w:rsidR="00E67D1E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proofErr w:type="spellEnd"/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="007A457F">
        <w:rPr>
          <w:rFonts w:ascii="Arial" w:hAnsi="Arial" w:cs="Arial"/>
          <w:color w:val="404040" w:themeColor="text1" w:themeTint="BF"/>
          <w:sz w:val="20"/>
          <w:szCs w:val="20"/>
        </w:rPr>
        <w:t>; and</w:t>
      </w:r>
    </w:p>
    <w:p w:rsidR="00AC3ACB" w:rsidRPr="005F7B02" w:rsidRDefault="00AC3ACB" w:rsidP="00AC3AC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Voting on changes to the terms and conditions of all instruments that fall under Section 19 have been lowered to 66.67% majority in line with our Debt Listings Requirements as the same principle applies to S19.</w:t>
      </w:r>
    </w:p>
    <w:p w:rsidR="00AC3ACB" w:rsidRPr="005F7B02" w:rsidRDefault="00AC3ACB" w:rsidP="00AC3ACB">
      <w:pPr>
        <w:pStyle w:val="ListParagraph"/>
        <w:ind w:left="14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47E51" w:rsidRPr="005F7B02" w:rsidRDefault="001D31E0" w:rsidP="00A26FF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Exchange Traded Funds (“</w:t>
      </w:r>
      <w:r w:rsidR="00F47E51" w:rsidRPr="005F7B02">
        <w:rPr>
          <w:rFonts w:ascii="Arial" w:hAnsi="Arial" w:cs="Arial"/>
          <w:color w:val="404040" w:themeColor="text1" w:themeTint="BF"/>
          <w:sz w:val="20"/>
          <w:szCs w:val="20"/>
        </w:rPr>
        <w:t>ETFs</w:t>
      </w:r>
      <w:r>
        <w:rPr>
          <w:rFonts w:ascii="Arial" w:hAnsi="Arial" w:cs="Arial"/>
          <w:color w:val="404040" w:themeColor="text1" w:themeTint="BF"/>
          <w:sz w:val="20"/>
          <w:szCs w:val="20"/>
        </w:rPr>
        <w:t>”)</w:t>
      </w:r>
    </w:p>
    <w:p w:rsidR="00F47E51" w:rsidRPr="005F7B02" w:rsidRDefault="009A1F89" w:rsidP="00EB0EC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The issuers of ETFs are limited to banks complying with S19.10 or regulated entit</w:t>
      </w:r>
      <w:r w:rsidR="001D31E0">
        <w:rPr>
          <w:rFonts w:ascii="Arial" w:hAnsi="Arial" w:cs="Arial"/>
          <w:color w:val="404040" w:themeColor="text1" w:themeTint="BF"/>
          <w:sz w:val="20"/>
          <w:szCs w:val="20"/>
        </w:rPr>
        <w:t>ies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acceptable to the JSE</w:t>
      </w:r>
      <w:r w:rsidR="000E132F" w:rsidRPr="005F7B02">
        <w:rPr>
          <w:rFonts w:ascii="Arial" w:hAnsi="Arial" w:cs="Arial"/>
          <w:color w:val="404040" w:themeColor="text1" w:themeTint="BF"/>
          <w:sz w:val="20"/>
          <w:szCs w:val="20"/>
        </w:rPr>
        <w:t>, as opposed to any issuer</w:t>
      </w:r>
      <w:r w:rsidR="00DC344E">
        <w:rPr>
          <w:rFonts w:ascii="Arial" w:hAnsi="Arial" w:cs="Arial"/>
          <w:color w:val="404040" w:themeColor="text1" w:themeTint="BF"/>
          <w:sz w:val="20"/>
          <w:szCs w:val="20"/>
        </w:rPr>
        <w:t>, as this ensures that issuers have sufficient expertise to issue ETFs</w:t>
      </w:r>
      <w:r w:rsidR="007A457F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F47E51" w:rsidRPr="005F7B02" w:rsidRDefault="00EB0ECE" w:rsidP="00EB0EC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Disclosure requirements have been amended where necessary. The previous version of the requirement</w:t>
      </w:r>
      <w:r w:rsidR="00565CFD" w:rsidRPr="005F7B02">
        <w:rPr>
          <w:rFonts w:ascii="Arial" w:hAnsi="Arial" w:cs="Arial"/>
          <w:color w:val="404040" w:themeColor="text1" w:themeTint="BF"/>
          <w:sz w:val="20"/>
          <w:szCs w:val="20"/>
        </w:rPr>
        <w:t>s insisted on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disclosures </w:t>
      </w:r>
      <w:r w:rsidR="00565CFD"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relevant to companies, 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which were not applicable to ETFs </w:t>
      </w:r>
      <w:r w:rsidR="00565CFD" w:rsidRPr="005F7B02">
        <w:rPr>
          <w:rFonts w:ascii="Arial" w:hAnsi="Arial" w:cs="Arial"/>
          <w:color w:val="404040" w:themeColor="text1" w:themeTint="BF"/>
          <w:sz w:val="20"/>
          <w:szCs w:val="20"/>
        </w:rPr>
        <w:t>and have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subsequently been removed</w:t>
      </w:r>
      <w:r w:rsidR="001D31E0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8D4235" w:rsidRPr="005F7B02" w:rsidRDefault="008D4235" w:rsidP="008D4235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Additions include the provisions under S</w:t>
      </w:r>
      <w:r w:rsidR="0092586E">
        <w:rPr>
          <w:rFonts w:ascii="Arial" w:hAnsi="Arial" w:cs="Arial"/>
          <w:color w:val="404040" w:themeColor="text1" w:themeTint="BF"/>
          <w:sz w:val="20"/>
          <w:szCs w:val="20"/>
        </w:rPr>
        <w:t>19.</w:t>
      </w:r>
      <w:r w:rsidR="00412ADE">
        <w:rPr>
          <w:rFonts w:ascii="Arial" w:hAnsi="Arial" w:cs="Arial"/>
          <w:color w:val="404040" w:themeColor="text1" w:themeTint="BF"/>
          <w:sz w:val="20"/>
          <w:szCs w:val="20"/>
        </w:rPr>
        <w:t>63,</w:t>
      </w:r>
      <w:r w:rsidR="009122B4">
        <w:rPr>
          <w:rFonts w:ascii="Arial" w:hAnsi="Arial" w:cs="Arial"/>
          <w:color w:val="404040" w:themeColor="text1" w:themeTint="BF"/>
          <w:sz w:val="20"/>
          <w:szCs w:val="20"/>
        </w:rPr>
        <w:t xml:space="preserve"> 19.66, 19.67 and 19.70</w:t>
      </w:r>
      <w:r w:rsidR="00F70FF0">
        <w:rPr>
          <w:rFonts w:ascii="Arial" w:hAnsi="Arial" w:cs="Arial"/>
          <w:color w:val="404040" w:themeColor="text1" w:themeTint="BF"/>
          <w:sz w:val="20"/>
          <w:szCs w:val="20"/>
        </w:rPr>
        <w:t xml:space="preserve">; </w:t>
      </w:r>
      <w:r w:rsidR="007A457F">
        <w:rPr>
          <w:rFonts w:ascii="Arial" w:hAnsi="Arial" w:cs="Arial"/>
          <w:color w:val="404040" w:themeColor="text1" w:themeTint="BF"/>
          <w:sz w:val="20"/>
          <w:szCs w:val="20"/>
        </w:rPr>
        <w:t>and</w:t>
      </w:r>
    </w:p>
    <w:p w:rsidR="008D4235" w:rsidRDefault="008D4235" w:rsidP="008D4235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Specific exclusions have been provided for under S19.20(</w:t>
      </w:r>
      <w:proofErr w:type="spellStart"/>
      <w:r w:rsidR="00412ADE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proofErr w:type="spellEnd"/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4458D1" w:rsidRPr="005F7B02" w:rsidRDefault="004458D1" w:rsidP="004458D1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Requirements relating to the procedure for delisting an ETF.</w:t>
      </w:r>
    </w:p>
    <w:p w:rsidR="008341A3" w:rsidRPr="005F7B02" w:rsidRDefault="008341A3" w:rsidP="008341A3">
      <w:pPr>
        <w:pStyle w:val="ListParagraph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47E51" w:rsidRPr="005F7B02" w:rsidRDefault="00F47E51" w:rsidP="009C116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D</w:t>
      </w:r>
      <w:r w:rsidR="009C1165" w:rsidRPr="005F7B02">
        <w:rPr>
          <w:rFonts w:ascii="Arial" w:hAnsi="Arial" w:cs="Arial"/>
          <w:color w:val="404040" w:themeColor="text1" w:themeTint="BF"/>
          <w:sz w:val="20"/>
          <w:szCs w:val="20"/>
        </w:rPr>
        <w:t>epository Receipts</w:t>
      </w:r>
    </w:p>
    <w:p w:rsidR="00F47E51" w:rsidRPr="005F7B02" w:rsidRDefault="00F47E51" w:rsidP="00A26FF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Sponsored DRs</w:t>
      </w:r>
    </w:p>
    <w:p w:rsidR="00F47E51" w:rsidRPr="005F7B02" w:rsidRDefault="00F47E51" w:rsidP="00B36EB4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Market maker and spread not required as this poses difficulty when </w:t>
      </w:r>
      <w:r w:rsidR="00AC3ACB" w:rsidRPr="005F7B02">
        <w:rPr>
          <w:rFonts w:ascii="Arial" w:hAnsi="Arial" w:cs="Arial"/>
          <w:color w:val="404040" w:themeColor="text1" w:themeTint="BF"/>
          <w:sz w:val="20"/>
          <w:szCs w:val="20"/>
        </w:rPr>
        <w:t>list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ing</w:t>
      </w:r>
      <w:r w:rsidR="00AC3ACB"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by means of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a</w:t>
      </w:r>
      <w:r w:rsidR="00AC3ACB" w:rsidRPr="005F7B02">
        <w:rPr>
          <w:rFonts w:ascii="Arial" w:hAnsi="Arial" w:cs="Arial"/>
          <w:color w:val="404040" w:themeColor="text1" w:themeTint="BF"/>
          <w:sz w:val="20"/>
          <w:szCs w:val="20"/>
        </w:rPr>
        <w:t>n introduction,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or in the event of a private placement.</w:t>
      </w:r>
      <w:r w:rsidR="00AD7FC5">
        <w:rPr>
          <w:rFonts w:ascii="Arial" w:hAnsi="Arial" w:cs="Arial"/>
          <w:color w:val="404040" w:themeColor="text1" w:themeTint="BF"/>
          <w:sz w:val="20"/>
          <w:szCs w:val="20"/>
        </w:rPr>
        <w:t xml:space="preserve"> This is also in line with international precedents. Furthermore, t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he DR redemption mechanism i.e. the ability to convert from the DR to the underlying security is satisfactory in that should you not be able to sell your DR, a broker could convert the DR into the underlying security and sell it in the home market. We thus feel that there is no need for </w:t>
      </w:r>
      <w:r w:rsidR="0066065F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market maker</w:t>
      </w:r>
      <w:r w:rsidR="00D33DAE">
        <w:rPr>
          <w:rFonts w:ascii="Arial" w:hAnsi="Arial" w:cs="Arial"/>
          <w:color w:val="404040" w:themeColor="text1" w:themeTint="BF"/>
          <w:sz w:val="20"/>
          <w:szCs w:val="20"/>
        </w:rPr>
        <w:t xml:space="preserve">; </w:t>
      </w:r>
      <w:r w:rsidR="007A457F">
        <w:rPr>
          <w:rFonts w:ascii="Arial" w:hAnsi="Arial" w:cs="Arial"/>
          <w:color w:val="404040" w:themeColor="text1" w:themeTint="BF"/>
          <w:sz w:val="20"/>
          <w:szCs w:val="20"/>
        </w:rPr>
        <w:t>and</w:t>
      </w:r>
    </w:p>
    <w:p w:rsidR="001328BB" w:rsidRDefault="00C2494F" w:rsidP="001328BB">
      <w:pPr>
        <w:pStyle w:val="ListParagraph"/>
        <w:numPr>
          <w:ilvl w:val="2"/>
          <w:numId w:val="7"/>
        </w:numPr>
        <w:tabs>
          <w:tab w:val="left" w:pos="568"/>
        </w:tabs>
        <w:ind w:left="2127" w:hanging="327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The curren</w:t>
      </w:r>
      <w:r w:rsidR="00BB79AF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t rules require depositories to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notify holders of DRs of the</w:t>
      </w:r>
      <w:r w:rsidR="00F47E51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procedures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through</w:t>
      </w:r>
      <w:r w:rsidR="00F47E51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which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they should obtain </w:t>
      </w:r>
      <w:r w:rsidR="00F47E51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copies of all notices, reports, voting forms or other communications published by the underlying entity to its shareholders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  <w:r w:rsidR="00B45CCF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We have removed the requirement to have all of the aforementioned documents available for inspection at </w:t>
      </w:r>
      <w:r w:rsidR="00D33DA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the depository, custodian and sponsor’s</w:t>
      </w:r>
      <w:r w:rsidR="00B45CCF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principal </w:t>
      </w:r>
      <w:r w:rsidR="00AC3ACB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office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for</w:t>
      </w:r>
      <w:r w:rsidR="00B45CCF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practical reasons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and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because </w:t>
      </w:r>
      <w:r w:rsidR="00B45CCF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DR</w:t>
      </w:r>
      <w:proofErr w:type="gramEnd"/>
      <w:r w:rsidR="00B45CCF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holders have been informed of </w:t>
      </w:r>
      <w:r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where and how to obtain such information </w:t>
      </w:r>
      <w:r w:rsidR="00B45CCF" w:rsidRPr="005F7B02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already.</w:t>
      </w:r>
      <w:r w:rsidR="00D33DA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This is also in line with international precedents.</w:t>
      </w:r>
    </w:p>
    <w:p w:rsidR="005F7B02" w:rsidRPr="005F7B02" w:rsidRDefault="005F7B02" w:rsidP="005F7B02">
      <w:pPr>
        <w:pStyle w:val="ListParagraph"/>
        <w:tabs>
          <w:tab w:val="left" w:pos="568"/>
        </w:tabs>
        <w:ind w:left="2127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</w:p>
    <w:p w:rsidR="00AC3E4B" w:rsidRPr="005F7B02" w:rsidRDefault="00AC3E4B" w:rsidP="00AC3E4B">
      <w:pPr>
        <w:jc w:val="both"/>
        <w:rPr>
          <w:rFonts w:cs="Arial"/>
          <w:i/>
          <w:color w:val="404040" w:themeColor="text1" w:themeTint="BF"/>
          <w:u w:val="single"/>
        </w:rPr>
      </w:pPr>
      <w:r w:rsidRPr="005F7B02">
        <w:rPr>
          <w:rFonts w:cs="Arial"/>
          <w:i/>
          <w:color w:val="404040" w:themeColor="text1" w:themeTint="BF"/>
          <w:u w:val="single"/>
        </w:rPr>
        <w:t>Additional Requirements</w:t>
      </w:r>
    </w:p>
    <w:p w:rsidR="00B425FE" w:rsidRPr="005F7B02" w:rsidRDefault="00B425FE" w:rsidP="00AC3E4B">
      <w:pPr>
        <w:jc w:val="both"/>
        <w:rPr>
          <w:rFonts w:cs="Arial"/>
          <w:i/>
          <w:color w:val="404040" w:themeColor="text1" w:themeTint="BF"/>
        </w:rPr>
      </w:pPr>
    </w:p>
    <w:p w:rsidR="00AC3E4B" w:rsidRPr="005F7B02" w:rsidRDefault="00AC3E4B" w:rsidP="00AC3E4B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 xml:space="preserve">The proposed Section 19 now also </w:t>
      </w:r>
      <w:r w:rsidR="00AD7F7A" w:rsidRPr="005F7B02">
        <w:rPr>
          <w:rFonts w:cs="Arial"/>
          <w:color w:val="404040" w:themeColor="text1" w:themeTint="BF"/>
        </w:rPr>
        <w:t>i</w:t>
      </w:r>
      <w:r w:rsidRPr="005F7B02">
        <w:rPr>
          <w:rFonts w:cs="Arial"/>
          <w:color w:val="404040" w:themeColor="text1" w:themeTint="BF"/>
        </w:rPr>
        <w:t xml:space="preserve">ncludes </w:t>
      </w:r>
      <w:r w:rsidR="00DE1381" w:rsidRPr="005F7B02">
        <w:rPr>
          <w:rFonts w:cs="Arial"/>
          <w:color w:val="404040" w:themeColor="text1" w:themeTint="BF"/>
        </w:rPr>
        <w:t xml:space="preserve">the requirements for index disclosures and acceptable index calculators </w:t>
      </w:r>
      <w:r w:rsidR="00DE1381">
        <w:rPr>
          <w:rFonts w:cs="Arial"/>
          <w:color w:val="404040" w:themeColor="text1" w:themeTint="BF"/>
        </w:rPr>
        <w:t xml:space="preserve">as well as </w:t>
      </w:r>
      <w:r w:rsidRPr="005F7B02">
        <w:rPr>
          <w:rFonts w:cs="Arial"/>
          <w:color w:val="404040" w:themeColor="text1" w:themeTint="BF"/>
        </w:rPr>
        <w:t>proposed requirements for the following instruments</w:t>
      </w:r>
      <w:r w:rsidR="00DE1381">
        <w:rPr>
          <w:rFonts w:cs="Arial"/>
          <w:color w:val="404040" w:themeColor="text1" w:themeTint="BF"/>
        </w:rPr>
        <w:t>:</w:t>
      </w:r>
      <w:r w:rsidR="00AD7F7A" w:rsidRPr="005F7B02">
        <w:rPr>
          <w:rFonts w:cs="Arial"/>
          <w:color w:val="404040" w:themeColor="text1" w:themeTint="BF"/>
        </w:rPr>
        <w:t xml:space="preserve"> </w:t>
      </w:r>
    </w:p>
    <w:p w:rsidR="00B425FE" w:rsidRPr="005F7B02" w:rsidRDefault="00B425FE" w:rsidP="00AC3E4B">
      <w:pPr>
        <w:jc w:val="both"/>
        <w:rPr>
          <w:rFonts w:cs="Arial"/>
          <w:color w:val="404040" w:themeColor="text1" w:themeTint="BF"/>
        </w:rPr>
      </w:pPr>
    </w:p>
    <w:p w:rsidR="00AC3E4B" w:rsidRPr="005F7B02" w:rsidRDefault="00AC3E4B" w:rsidP="00AC3E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ETNs</w:t>
      </w:r>
    </w:p>
    <w:p w:rsidR="00444557" w:rsidRPr="005F7B02" w:rsidRDefault="00D246AF" w:rsidP="00B425FE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 xml:space="preserve">An ETN is defined as a listed, senior, non-bespoke, unsubordinated, uncollateralised debt instrument which represents a contractual obligation made by an issuer to pay the holder a return which is linked to the performance of underlying securities or benchmarks, such as the performance of one or more shares or bonds, an index, an exchange rate or a commodity and are backed by the creditworthiness of the issuer. An ETN is a long-term instrument and the Maturity Date will be a minimum of </w:t>
      </w:r>
      <w:r w:rsidR="00DE1381">
        <w:rPr>
          <w:rFonts w:cs="Arial"/>
          <w:color w:val="404040" w:themeColor="text1" w:themeTint="BF"/>
        </w:rPr>
        <w:t>five</w:t>
      </w:r>
      <w:r w:rsidRPr="005F7B02">
        <w:rPr>
          <w:rFonts w:cs="Arial"/>
          <w:color w:val="404040" w:themeColor="text1" w:themeTint="BF"/>
        </w:rPr>
        <w:t xml:space="preserve"> years after the date of issue.</w:t>
      </w:r>
      <w:r w:rsidR="00DE1381">
        <w:rPr>
          <w:rFonts w:cs="Arial"/>
          <w:color w:val="404040" w:themeColor="text1" w:themeTint="BF"/>
        </w:rPr>
        <w:t xml:space="preserve"> </w:t>
      </w:r>
      <w:r w:rsidR="001328BB" w:rsidRPr="005F7B02">
        <w:rPr>
          <w:rFonts w:cs="Arial"/>
          <w:color w:val="404040" w:themeColor="text1" w:themeTint="BF"/>
        </w:rPr>
        <w:t>G</w:t>
      </w:r>
      <w:r w:rsidRPr="005F7B02">
        <w:rPr>
          <w:rFonts w:cs="Arial"/>
          <w:color w:val="404040" w:themeColor="text1" w:themeTint="BF"/>
        </w:rPr>
        <w:t>iven that ETNs are investment products, we feel that the</w:t>
      </w:r>
      <w:r w:rsidR="00DE1381">
        <w:rPr>
          <w:rFonts w:cs="Arial"/>
          <w:color w:val="404040" w:themeColor="text1" w:themeTint="BF"/>
        </w:rPr>
        <w:t xml:space="preserve">y fit best into </w:t>
      </w:r>
      <w:r w:rsidRPr="005F7B02">
        <w:rPr>
          <w:rFonts w:cs="Arial"/>
          <w:color w:val="404040" w:themeColor="text1" w:themeTint="BF"/>
        </w:rPr>
        <w:t>Section 19</w:t>
      </w:r>
      <w:r w:rsidR="00C72592" w:rsidRPr="005F7B02">
        <w:rPr>
          <w:rFonts w:cs="Arial"/>
          <w:color w:val="404040" w:themeColor="text1" w:themeTint="BF"/>
        </w:rPr>
        <w:t xml:space="preserve">. Furthermore, the JSE gains comfort from the fact that the product issuance will be limited to banks, where we have applied specific balance sheet as well as other criteria [S19.10] that </w:t>
      </w:r>
      <w:r w:rsidR="00DE1381">
        <w:rPr>
          <w:rFonts w:cs="Arial"/>
          <w:color w:val="404040" w:themeColor="text1" w:themeTint="BF"/>
        </w:rPr>
        <w:t>must</w:t>
      </w:r>
      <w:r w:rsidR="00C72592" w:rsidRPr="005F7B02">
        <w:rPr>
          <w:rFonts w:cs="Arial"/>
          <w:color w:val="404040" w:themeColor="text1" w:themeTint="BF"/>
        </w:rPr>
        <w:t xml:space="preserve"> be adhered to when registering their respective programmes with the JSE.</w:t>
      </w:r>
      <w:r w:rsidR="00361B8D" w:rsidRPr="005F7B02">
        <w:rPr>
          <w:rFonts w:cs="Arial"/>
          <w:color w:val="404040" w:themeColor="text1" w:themeTint="BF"/>
        </w:rPr>
        <w:t xml:space="preserve"> Cognisance should be taken of the fact that investors are taking on balance sheet risk of the issuer in this case.</w:t>
      </w:r>
    </w:p>
    <w:p w:rsidR="00D246AF" w:rsidRPr="005F7B02" w:rsidRDefault="00D246AF" w:rsidP="00D246AF">
      <w:pPr>
        <w:pStyle w:val="ListParagraph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C3E4B" w:rsidRPr="005F7B02" w:rsidRDefault="00AC3E4B" w:rsidP="00AC3E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Structured products </w:t>
      </w:r>
    </w:p>
    <w:p w:rsidR="00444557" w:rsidRPr="005F7B02" w:rsidRDefault="00D246AF" w:rsidP="00B425FE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>Structured products are bespoke in nature and may vary from issuance to issuance We have thus included a separate section that deals with structured products as well as the related definition which has been derived from international research that had been conducted.</w:t>
      </w:r>
    </w:p>
    <w:p w:rsidR="00444557" w:rsidRPr="005F7B02" w:rsidRDefault="008D1F74" w:rsidP="00B425FE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>These products will also be limited to Banks given the same rationale provided for under the ETN section above.</w:t>
      </w:r>
    </w:p>
    <w:p w:rsidR="00D246AF" w:rsidRPr="005F7B02" w:rsidRDefault="00D246AF" w:rsidP="00D246AF">
      <w:pPr>
        <w:pStyle w:val="ListParagraph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C3E4B" w:rsidRPr="005F7B02" w:rsidRDefault="00AC3E4B" w:rsidP="00DD79B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Index disclosures and acceptable index calculators (approved by advisory committee and has undergone public consultation)</w:t>
      </w:r>
    </w:p>
    <w:p w:rsidR="00D246AF" w:rsidRPr="005F7B02" w:rsidRDefault="00D246AF" w:rsidP="00D246AF">
      <w:pPr>
        <w:pStyle w:val="ListParagraph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u w:val="single"/>
        </w:rPr>
      </w:pPr>
    </w:p>
    <w:p w:rsidR="00444557" w:rsidRPr="005F7B02" w:rsidRDefault="00A83F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Unsponsored </w:t>
      </w:r>
      <w:r w:rsidR="00923804" w:rsidRPr="005F7B02">
        <w:rPr>
          <w:rFonts w:ascii="Arial" w:hAnsi="Arial" w:cs="Arial"/>
          <w:color w:val="404040" w:themeColor="text1" w:themeTint="BF"/>
          <w:sz w:val="20"/>
          <w:szCs w:val="20"/>
        </w:rPr>
        <w:t>DRs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923804" w:rsidRPr="005F7B02">
        <w:rPr>
          <w:rFonts w:ascii="Arial" w:hAnsi="Arial" w:cs="Arial"/>
          <w:color w:val="404040" w:themeColor="text1" w:themeTint="BF"/>
          <w:sz w:val="20"/>
          <w:szCs w:val="20"/>
        </w:rPr>
        <w:t>“U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DRs</w:t>
      </w:r>
      <w:r w:rsidR="00923804" w:rsidRPr="005F7B02">
        <w:rPr>
          <w:rFonts w:ascii="Arial" w:hAnsi="Arial" w:cs="Arial"/>
          <w:color w:val="404040" w:themeColor="text1" w:themeTint="BF"/>
          <w:sz w:val="20"/>
          <w:szCs w:val="20"/>
        </w:rPr>
        <w:t>”</w:t>
      </w:r>
      <w:r w:rsidRPr="005F7B02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361F71" w:rsidRPr="005F7B02" w:rsidRDefault="00923804" w:rsidP="00361F71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>U</w:t>
      </w:r>
      <w:r w:rsidR="00C7472E" w:rsidRPr="005F7B02">
        <w:rPr>
          <w:rFonts w:cs="Arial"/>
          <w:color w:val="404040" w:themeColor="text1" w:themeTint="BF"/>
        </w:rPr>
        <w:t>DR</w:t>
      </w:r>
      <w:r w:rsidR="00361F71" w:rsidRPr="005F7B02">
        <w:rPr>
          <w:rFonts w:cs="Arial"/>
          <w:color w:val="404040" w:themeColor="text1" w:themeTint="BF"/>
        </w:rPr>
        <w:t xml:space="preserve">s are a type of certificate issued by a </w:t>
      </w:r>
      <w:r w:rsidR="00C7472E" w:rsidRPr="005F7B02">
        <w:rPr>
          <w:rFonts w:cs="Arial"/>
          <w:color w:val="404040" w:themeColor="text1" w:themeTint="BF"/>
        </w:rPr>
        <w:t>depository</w:t>
      </w:r>
      <w:r w:rsidR="00361F71" w:rsidRPr="005F7B02">
        <w:rPr>
          <w:rFonts w:cs="Arial"/>
          <w:color w:val="404040" w:themeColor="text1" w:themeTint="BF"/>
        </w:rPr>
        <w:t xml:space="preserve"> that represents a certain number of ordinary shares of a </w:t>
      </w:r>
      <w:r w:rsidR="00C7472E" w:rsidRPr="005F7B02">
        <w:rPr>
          <w:rFonts w:cs="Arial"/>
          <w:color w:val="404040" w:themeColor="text1" w:themeTint="BF"/>
        </w:rPr>
        <w:t>non-South African</w:t>
      </w:r>
      <w:r w:rsidR="00361F71" w:rsidRPr="005F7B02">
        <w:rPr>
          <w:rFonts w:cs="Arial"/>
          <w:color w:val="404040" w:themeColor="text1" w:themeTint="BF"/>
        </w:rPr>
        <w:t xml:space="preserve"> company that have been deposited with the </w:t>
      </w:r>
      <w:r w:rsidR="00C7472E" w:rsidRPr="005F7B02">
        <w:rPr>
          <w:rFonts w:cs="Arial"/>
          <w:color w:val="404040" w:themeColor="text1" w:themeTint="BF"/>
        </w:rPr>
        <w:t>depository</w:t>
      </w:r>
      <w:r w:rsidR="00361F71" w:rsidRPr="005F7B02">
        <w:rPr>
          <w:rFonts w:cs="Arial"/>
          <w:color w:val="404040" w:themeColor="text1" w:themeTint="BF"/>
        </w:rPr>
        <w:t xml:space="preserve"> to under</w:t>
      </w:r>
      <w:r w:rsidRPr="005F7B02">
        <w:rPr>
          <w:rFonts w:cs="Arial"/>
          <w:color w:val="404040" w:themeColor="text1" w:themeTint="BF"/>
        </w:rPr>
        <w:t>pin</w:t>
      </w:r>
      <w:r w:rsidR="00361F71" w:rsidRPr="005F7B02">
        <w:rPr>
          <w:rFonts w:cs="Arial"/>
          <w:color w:val="404040" w:themeColor="text1" w:themeTint="BF"/>
        </w:rPr>
        <w:t xml:space="preserve"> such certificates. </w:t>
      </w:r>
      <w:r w:rsidRPr="005F7B02">
        <w:rPr>
          <w:rFonts w:cs="Arial"/>
          <w:color w:val="404040" w:themeColor="text1" w:themeTint="BF"/>
        </w:rPr>
        <w:t>U</w:t>
      </w:r>
      <w:r w:rsidR="00C7472E" w:rsidRPr="005F7B02">
        <w:rPr>
          <w:rFonts w:cs="Arial"/>
          <w:color w:val="404040" w:themeColor="text1" w:themeTint="BF"/>
        </w:rPr>
        <w:t>DR</w:t>
      </w:r>
      <w:r w:rsidR="00361F71" w:rsidRPr="005F7B02">
        <w:rPr>
          <w:rFonts w:cs="Arial"/>
          <w:color w:val="404040" w:themeColor="text1" w:themeTint="BF"/>
        </w:rPr>
        <w:t xml:space="preserve">s enable </w:t>
      </w:r>
      <w:r w:rsidR="00C7472E" w:rsidRPr="005F7B02">
        <w:rPr>
          <w:rFonts w:cs="Arial"/>
          <w:color w:val="404040" w:themeColor="text1" w:themeTint="BF"/>
        </w:rPr>
        <w:t>South African investors</w:t>
      </w:r>
      <w:r w:rsidR="00361F71" w:rsidRPr="005F7B02">
        <w:rPr>
          <w:rFonts w:cs="Arial"/>
          <w:color w:val="404040" w:themeColor="text1" w:themeTint="BF"/>
        </w:rPr>
        <w:t xml:space="preserve"> to invest indirectly in the securities of a </w:t>
      </w:r>
      <w:r w:rsidR="00C7472E" w:rsidRPr="005F7B02">
        <w:rPr>
          <w:rFonts w:cs="Arial"/>
          <w:color w:val="404040" w:themeColor="text1" w:themeTint="BF"/>
        </w:rPr>
        <w:t>non-South African</w:t>
      </w:r>
      <w:r w:rsidR="00361F71" w:rsidRPr="005F7B02">
        <w:rPr>
          <w:rFonts w:cs="Arial"/>
          <w:color w:val="404040" w:themeColor="text1" w:themeTint="BF"/>
        </w:rPr>
        <w:t xml:space="preserve"> company whose ordinary shares </w:t>
      </w:r>
      <w:r w:rsidRPr="005F7B02">
        <w:rPr>
          <w:rFonts w:cs="Arial"/>
          <w:color w:val="404040" w:themeColor="text1" w:themeTint="BF"/>
        </w:rPr>
        <w:t>are listed on a recognized exchange.</w:t>
      </w:r>
      <w:r w:rsidR="00361F71" w:rsidRPr="005F7B02">
        <w:rPr>
          <w:rFonts w:cs="Arial"/>
          <w:color w:val="404040" w:themeColor="text1" w:themeTint="BF"/>
        </w:rPr>
        <w:t xml:space="preserve"> </w:t>
      </w:r>
    </w:p>
    <w:p w:rsidR="00361F71" w:rsidRPr="005F7B02" w:rsidRDefault="00361F71" w:rsidP="00361F71">
      <w:pPr>
        <w:jc w:val="both"/>
        <w:rPr>
          <w:rFonts w:cs="Arial"/>
          <w:color w:val="404040" w:themeColor="text1" w:themeTint="BF"/>
        </w:rPr>
      </w:pPr>
    </w:p>
    <w:p w:rsidR="00361F71" w:rsidRPr="005F7B02" w:rsidRDefault="00361F71" w:rsidP="00361F71">
      <w:pPr>
        <w:jc w:val="both"/>
        <w:rPr>
          <w:rFonts w:cs="Arial"/>
          <w:color w:val="404040" w:themeColor="text1" w:themeTint="BF"/>
        </w:rPr>
      </w:pPr>
      <w:r w:rsidRPr="005F7B02">
        <w:rPr>
          <w:rFonts w:cs="Arial"/>
          <w:color w:val="404040" w:themeColor="text1" w:themeTint="BF"/>
        </w:rPr>
        <w:t xml:space="preserve">An </w:t>
      </w:r>
      <w:r w:rsidR="00923804" w:rsidRPr="005F7B02">
        <w:rPr>
          <w:rFonts w:cs="Arial"/>
          <w:color w:val="404040" w:themeColor="text1" w:themeTint="BF"/>
        </w:rPr>
        <w:t>U</w:t>
      </w:r>
      <w:r w:rsidR="00C7472E" w:rsidRPr="005F7B02">
        <w:rPr>
          <w:rFonts w:cs="Arial"/>
          <w:color w:val="404040" w:themeColor="text1" w:themeTint="BF"/>
        </w:rPr>
        <w:t>DR</w:t>
      </w:r>
      <w:r w:rsidRPr="005F7B02">
        <w:rPr>
          <w:rFonts w:cs="Arial"/>
          <w:color w:val="404040" w:themeColor="text1" w:themeTint="BF"/>
        </w:rPr>
        <w:t xml:space="preserve"> program is one that is established by a </w:t>
      </w:r>
      <w:r w:rsidR="00C7472E" w:rsidRPr="005F7B02">
        <w:rPr>
          <w:rFonts w:cs="Arial"/>
          <w:color w:val="404040" w:themeColor="text1" w:themeTint="BF"/>
        </w:rPr>
        <w:t>depository</w:t>
      </w:r>
      <w:r w:rsidRPr="005F7B02">
        <w:rPr>
          <w:rFonts w:cs="Arial"/>
          <w:color w:val="404040" w:themeColor="text1" w:themeTint="BF"/>
        </w:rPr>
        <w:t xml:space="preserve"> without the participation or consent of the issuer. Since an issuer is not involved in the implementation or in the maintenance of the unsponsored </w:t>
      </w:r>
      <w:r w:rsidR="00C7472E" w:rsidRPr="005F7B02">
        <w:rPr>
          <w:rFonts w:cs="Arial"/>
          <w:color w:val="404040" w:themeColor="text1" w:themeTint="BF"/>
        </w:rPr>
        <w:t>DR</w:t>
      </w:r>
      <w:r w:rsidRPr="005F7B02">
        <w:rPr>
          <w:rFonts w:cs="Arial"/>
          <w:color w:val="404040" w:themeColor="text1" w:themeTint="BF"/>
        </w:rPr>
        <w:t xml:space="preserve"> program, it has no influence on the treatment of </w:t>
      </w:r>
      <w:r w:rsidR="00C7472E" w:rsidRPr="005F7B02">
        <w:rPr>
          <w:rFonts w:cs="Arial"/>
          <w:color w:val="404040" w:themeColor="text1" w:themeTint="BF"/>
        </w:rPr>
        <w:t>DR</w:t>
      </w:r>
      <w:r w:rsidRPr="005F7B02">
        <w:rPr>
          <w:rFonts w:cs="Arial"/>
          <w:color w:val="404040" w:themeColor="text1" w:themeTint="BF"/>
        </w:rPr>
        <w:t xml:space="preserve"> holders.</w:t>
      </w:r>
      <w:r w:rsidR="00D246AF" w:rsidRPr="005F7B02">
        <w:rPr>
          <w:rFonts w:cs="Arial"/>
          <w:color w:val="404040" w:themeColor="text1" w:themeTint="BF"/>
        </w:rPr>
        <w:t xml:space="preserve"> A schedule 1 agreement will thus be signed by the depository in the case of </w:t>
      </w:r>
      <w:r w:rsidR="00923804" w:rsidRPr="005F7B02">
        <w:rPr>
          <w:rFonts w:cs="Arial"/>
          <w:color w:val="404040" w:themeColor="text1" w:themeTint="BF"/>
        </w:rPr>
        <w:t>U</w:t>
      </w:r>
      <w:r w:rsidR="00D246AF" w:rsidRPr="005F7B02">
        <w:rPr>
          <w:rFonts w:cs="Arial"/>
          <w:color w:val="404040" w:themeColor="text1" w:themeTint="BF"/>
        </w:rPr>
        <w:t xml:space="preserve">DRs as opposed to the underlying company, as the depository will be the regulated entity in this case. </w:t>
      </w:r>
      <w:r w:rsidR="00494F15" w:rsidRPr="005F7B02">
        <w:rPr>
          <w:rFonts w:cs="Arial"/>
          <w:color w:val="404040" w:themeColor="text1" w:themeTint="BF"/>
        </w:rPr>
        <w:t>The provisions of</w:t>
      </w:r>
      <w:r w:rsidR="00D246AF" w:rsidRPr="005F7B02">
        <w:rPr>
          <w:rFonts w:cs="Arial"/>
          <w:color w:val="404040" w:themeColor="text1" w:themeTint="BF"/>
        </w:rPr>
        <w:t xml:space="preserve"> Section 1 (Authority of the JSE) of the listings requirements ha</w:t>
      </w:r>
      <w:r w:rsidR="00923804" w:rsidRPr="005F7B02">
        <w:rPr>
          <w:rFonts w:cs="Arial"/>
          <w:color w:val="404040" w:themeColor="text1" w:themeTint="BF"/>
        </w:rPr>
        <w:t>ve</w:t>
      </w:r>
      <w:r w:rsidR="00D246AF" w:rsidRPr="005F7B02">
        <w:rPr>
          <w:rFonts w:cs="Arial"/>
          <w:color w:val="404040" w:themeColor="text1" w:themeTint="BF"/>
        </w:rPr>
        <w:t xml:space="preserve"> thus been amended to include depositories.</w:t>
      </w:r>
    </w:p>
    <w:p w:rsidR="008F39F6" w:rsidRPr="00B425FE" w:rsidRDefault="008F39F6" w:rsidP="00347132">
      <w:pPr>
        <w:ind w:left="1440"/>
        <w:jc w:val="both"/>
        <w:rPr>
          <w:color w:val="404040" w:themeColor="text1" w:themeTint="BF"/>
        </w:rPr>
      </w:pPr>
    </w:p>
    <w:p w:rsidR="008F39F6" w:rsidRPr="00B425FE" w:rsidRDefault="008F39F6" w:rsidP="008F39F6">
      <w:pPr>
        <w:jc w:val="both"/>
        <w:rPr>
          <w:color w:val="404040" w:themeColor="text1" w:themeTint="BF"/>
        </w:rPr>
      </w:pPr>
      <w:r w:rsidRPr="00B425FE">
        <w:rPr>
          <w:color w:val="404040" w:themeColor="text1" w:themeTint="BF"/>
        </w:rPr>
        <w:t>Regards,</w:t>
      </w:r>
    </w:p>
    <w:p w:rsidR="008F39F6" w:rsidRPr="00B425FE" w:rsidRDefault="008F39F6" w:rsidP="008F39F6">
      <w:pPr>
        <w:jc w:val="both"/>
        <w:rPr>
          <w:color w:val="404040" w:themeColor="text1" w:themeTint="BF"/>
        </w:rPr>
      </w:pPr>
      <w:r w:rsidRPr="00B425FE">
        <w:rPr>
          <w:color w:val="404040" w:themeColor="text1" w:themeTint="BF"/>
        </w:rPr>
        <w:t>Nicolas Kleovoulou</w:t>
      </w:r>
    </w:p>
    <w:p w:rsidR="008F39F6" w:rsidRPr="00B425FE" w:rsidRDefault="008F39F6" w:rsidP="008F39F6">
      <w:pPr>
        <w:rPr>
          <w:rFonts w:eastAsia="Times New Roman"/>
          <w:noProof/>
          <w:color w:val="404040" w:themeColor="text1" w:themeTint="BF"/>
          <w:lang w:eastAsia="en-ZA"/>
        </w:rPr>
      </w:pPr>
      <w:r w:rsidRPr="00B425FE">
        <w:rPr>
          <w:rFonts w:eastAsia="Times New Roman" w:cs="Arial"/>
          <w:noProof/>
          <w:color w:val="404040" w:themeColor="text1" w:themeTint="BF"/>
          <w:lang w:eastAsia="en-ZA"/>
        </w:rPr>
        <w:t>Manager: Corporate Finance - Specialist Securities</w:t>
      </w:r>
      <w:r w:rsidRPr="00B425FE">
        <w:rPr>
          <w:rFonts w:eastAsia="Times New Roman" w:cs="Arial"/>
          <w:noProof/>
          <w:color w:val="404040" w:themeColor="text1" w:themeTint="BF"/>
          <w:lang w:eastAsia="en-ZA"/>
        </w:rPr>
        <w:br/>
        <w:t>Issuer Regulation</w:t>
      </w:r>
    </w:p>
    <w:tbl>
      <w:tblPr>
        <w:tblW w:w="5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</w:tblGrid>
      <w:tr w:rsidR="008F39F6" w:rsidRPr="00B425FE" w:rsidTr="008F39F6">
        <w:trPr>
          <w:tblCellSpacing w:w="0" w:type="dxa"/>
        </w:trPr>
        <w:tc>
          <w:tcPr>
            <w:tcW w:w="5205" w:type="dxa"/>
            <w:vAlign w:val="center"/>
            <w:hideMark/>
          </w:tcPr>
          <w:p w:rsidR="008F39F6" w:rsidRPr="00B425FE" w:rsidRDefault="008F39F6">
            <w:pPr>
              <w:rPr>
                <w:rFonts w:eastAsia="Times New Roman"/>
                <w:noProof/>
                <w:color w:val="404040" w:themeColor="text1" w:themeTint="BF"/>
                <w:sz w:val="24"/>
                <w:szCs w:val="24"/>
                <w:lang w:eastAsia="en-ZA"/>
              </w:rPr>
            </w:pPr>
            <w:r w:rsidRPr="00B425FE">
              <w:rPr>
                <w:rFonts w:eastAsia="Times New Roman"/>
                <w:noProof/>
                <w:color w:val="404040" w:themeColor="text1" w:themeTint="BF"/>
                <w:lang w:eastAsia="en-ZA"/>
              </w:rPr>
              <w:t> </w:t>
            </w:r>
          </w:p>
        </w:tc>
      </w:tr>
      <w:tr w:rsidR="008F39F6" w:rsidRPr="00B425FE" w:rsidTr="008F3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9F6" w:rsidRPr="00B425FE" w:rsidRDefault="00CA664F">
            <w:pPr>
              <w:rPr>
                <w:rFonts w:eastAsia="Times New Roman"/>
                <w:noProof/>
                <w:color w:val="404040" w:themeColor="text1" w:themeTint="BF"/>
                <w:sz w:val="24"/>
                <w:szCs w:val="24"/>
                <w:lang w:eastAsia="en-ZA"/>
              </w:rPr>
            </w:pPr>
            <w:r>
              <w:rPr>
                <w:rFonts w:eastAsia="Times New Roman"/>
                <w:noProof/>
                <w:color w:val="404040" w:themeColor="text1" w:themeTint="BF"/>
                <w:lang w:eastAsia="en-ZA"/>
              </w:rPr>
              <w:drawing>
                <wp:inline distT="0" distB="0" distL="0" distR="0">
                  <wp:extent cx="2131695" cy="388620"/>
                  <wp:effectExtent l="19050" t="0" r="1905" b="0"/>
                  <wp:docPr id="1" name="Picture 1" descr="C:\Documents and Settings\nicolask\Application Data\Microsoft\Signatures\JSE_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icolask\Application Data\Microsoft\Signatures\JSE_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F6" w:rsidRPr="00B425FE" w:rsidTr="008F3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  <w:r w:rsidRPr="00B425FE"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  <w:t> </w:t>
            </w:r>
          </w:p>
        </w:tc>
      </w:tr>
    </w:tbl>
    <w:p w:rsidR="008F39F6" w:rsidRPr="00B425FE" w:rsidRDefault="008F39F6" w:rsidP="008F39F6">
      <w:pPr>
        <w:rPr>
          <w:rFonts w:asciiTheme="minorHAnsi" w:eastAsia="Times New Roman" w:hAnsiTheme="minorHAnsi" w:cstheme="minorBidi"/>
          <w:noProof/>
          <w:color w:val="404040" w:themeColor="text1" w:themeTint="BF"/>
          <w:sz w:val="22"/>
          <w:szCs w:val="22"/>
          <w:lang w:eastAsia="en-ZA"/>
        </w:rPr>
      </w:pPr>
      <w:r w:rsidRPr="00B425FE">
        <w:rPr>
          <w:rFonts w:eastAsia="Times New Roman" w:cs="Arial"/>
          <w:noProof/>
          <w:color w:val="404040" w:themeColor="text1" w:themeTint="BF"/>
          <w:sz w:val="16"/>
          <w:szCs w:val="16"/>
          <w:lang w:eastAsia="en-ZA"/>
        </w:rPr>
        <w:t>JSE Limited</w:t>
      </w:r>
      <w:r w:rsidRPr="00B425FE">
        <w:rPr>
          <w:rFonts w:eastAsia="Times New Roman" w:cs="Arial"/>
          <w:noProof/>
          <w:color w:val="404040" w:themeColor="text1" w:themeTint="BF"/>
          <w:sz w:val="16"/>
          <w:szCs w:val="16"/>
          <w:lang w:eastAsia="en-ZA"/>
        </w:rPr>
        <w:br/>
        <w:t>One Exchange Square, Gwen Lane</w:t>
      </w:r>
      <w:r w:rsidRPr="00B425FE">
        <w:rPr>
          <w:rFonts w:eastAsia="Times New Roman" w:cs="Arial"/>
          <w:noProof/>
          <w:color w:val="404040" w:themeColor="text1" w:themeTint="BF"/>
          <w:sz w:val="16"/>
          <w:szCs w:val="16"/>
          <w:lang w:eastAsia="en-ZA"/>
        </w:rPr>
        <w:br/>
        <w:t>Sandown, South Africa</w:t>
      </w:r>
      <w:r w:rsidRPr="00B425FE">
        <w:rPr>
          <w:rFonts w:eastAsia="Times New Roman"/>
          <w:noProof/>
          <w:color w:val="404040" w:themeColor="text1" w:themeTint="BF"/>
          <w:lang w:eastAsia="en-ZA"/>
        </w:rPr>
        <w:t xml:space="preserve"> </w:t>
      </w:r>
    </w:p>
    <w:tbl>
      <w:tblPr>
        <w:tblW w:w="5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0"/>
        <w:gridCol w:w="4515"/>
      </w:tblGrid>
      <w:tr w:rsidR="008F39F6" w:rsidRPr="00B425FE" w:rsidTr="008F39F6">
        <w:trPr>
          <w:tblCellSpacing w:w="0" w:type="dxa"/>
        </w:trPr>
        <w:tc>
          <w:tcPr>
            <w:tcW w:w="690" w:type="dxa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</w:p>
        </w:tc>
        <w:tc>
          <w:tcPr>
            <w:tcW w:w="4515" w:type="dxa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</w:p>
        </w:tc>
      </w:tr>
      <w:tr w:rsidR="008F39F6" w:rsidRPr="00B425FE" w:rsidTr="008F3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</w:p>
        </w:tc>
      </w:tr>
      <w:tr w:rsidR="008F39F6" w:rsidRPr="00B425FE" w:rsidTr="008F3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rFonts w:eastAsia="Times New Roman" w:cs="Arial"/>
                <w:noProof/>
                <w:color w:val="404040" w:themeColor="text1" w:themeTint="BF"/>
                <w:sz w:val="16"/>
                <w:szCs w:val="16"/>
                <w:lang w:eastAsia="en-ZA"/>
              </w:rPr>
            </w:pPr>
          </w:p>
        </w:tc>
      </w:tr>
      <w:tr w:rsidR="008F39F6" w:rsidRPr="00B425FE" w:rsidTr="008F3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F39F6" w:rsidRPr="00B425FE" w:rsidRDefault="008F39F6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:rsidR="00682A02" w:rsidRPr="008327C7" w:rsidRDefault="00682A02" w:rsidP="00A241AB"/>
    <w:sectPr w:rsidR="00682A02" w:rsidRPr="008327C7" w:rsidSect="007A20A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077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A7" w:rsidRDefault="008A12A7">
      <w:r>
        <w:separator/>
      </w:r>
    </w:p>
  </w:endnote>
  <w:endnote w:type="continuationSeparator" w:id="0">
    <w:p w:rsidR="008A12A7" w:rsidRDefault="008A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2" w:rsidRDefault="00C7743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77432" w:rsidRDefault="00C77432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970B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970B3" w:rsidRPr="00C94EA6">
      <w:rPr>
        <w:rFonts w:eastAsia="Times New Roman"/>
        <w:b/>
        <w:color w:val="808080"/>
        <w:sz w:val="14"/>
      </w:rPr>
      <w:fldChar w:fldCharType="separate"/>
    </w:r>
    <w:r w:rsidR="000B2286">
      <w:rPr>
        <w:rFonts w:eastAsia="Times New Roman"/>
        <w:b/>
        <w:noProof/>
        <w:color w:val="808080"/>
        <w:sz w:val="14"/>
      </w:rPr>
      <w:t>2</w:t>
    </w:r>
    <w:r w:rsidR="006970B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970B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970B3" w:rsidRPr="00C94EA6">
      <w:rPr>
        <w:rFonts w:eastAsia="Times New Roman"/>
        <w:b/>
        <w:color w:val="808080"/>
        <w:sz w:val="14"/>
      </w:rPr>
      <w:fldChar w:fldCharType="separate"/>
    </w:r>
    <w:r w:rsidR="000B2286">
      <w:rPr>
        <w:rFonts w:eastAsia="Times New Roman"/>
        <w:b/>
        <w:noProof/>
        <w:color w:val="808080"/>
        <w:sz w:val="14"/>
      </w:rPr>
      <w:t>3</w:t>
    </w:r>
    <w:r w:rsidR="006970B3" w:rsidRPr="00C94EA6">
      <w:rPr>
        <w:rFonts w:eastAsia="Times New Roman"/>
        <w:b/>
        <w:color w:val="808080"/>
        <w:sz w:val="14"/>
      </w:rPr>
      <w:fldChar w:fldCharType="end"/>
    </w:r>
  </w:p>
  <w:p w:rsidR="00C77432" w:rsidRDefault="00C7743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77432" w:rsidRPr="00C94EA6" w:rsidRDefault="00C77432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2" w:rsidRDefault="0057767C">
    <w:bookmarkStart w:id="8" w:name="LHS_JSE_Footer"/>
    <w:r>
      <w:rPr>
        <w:noProof/>
        <w:lang w:eastAsia="en-ZA"/>
      </w:rPr>
      <w:drawing>
        <wp:inline distT="0" distB="0" distL="0" distR="0">
          <wp:extent cx="7574280" cy="128778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A7" w:rsidRDefault="008A12A7">
      <w:r>
        <w:separator/>
      </w:r>
    </w:p>
  </w:footnote>
  <w:footnote w:type="continuationSeparator" w:id="0">
    <w:p w:rsidR="008A12A7" w:rsidRDefault="008A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2" w:rsidRDefault="006970B3">
    <w:pPr>
      <w:framePr w:wrap="around" w:vAnchor="text" w:hAnchor="margin" w:xAlign="right" w:y="1"/>
    </w:pPr>
    <w:r>
      <w:fldChar w:fldCharType="begin"/>
    </w:r>
    <w:r w:rsidR="00C77432">
      <w:instrText xml:space="preserve">PAGE  </w:instrText>
    </w:r>
    <w:r>
      <w:fldChar w:fldCharType="end"/>
    </w:r>
  </w:p>
  <w:p w:rsidR="00C77432" w:rsidRDefault="00C77432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2" w:rsidRDefault="006970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C77432" w:rsidRDefault="00C77432" w:rsidP="00EF6146">
                <w:pPr>
                  <w:jc w:val="right"/>
                </w:pPr>
              </w:p>
              <w:p w:rsidR="00C77432" w:rsidRDefault="00C77432" w:rsidP="00EF6146">
                <w:pPr>
                  <w:jc w:val="right"/>
                </w:pPr>
              </w:p>
              <w:p w:rsidR="00C77432" w:rsidRDefault="00C77432" w:rsidP="00EF6146">
                <w:pPr>
                  <w:jc w:val="right"/>
                </w:pPr>
              </w:p>
              <w:p w:rsidR="00C77432" w:rsidRDefault="00C77432" w:rsidP="00EF6146">
                <w:pPr>
                  <w:jc w:val="right"/>
                </w:pPr>
              </w:p>
              <w:p w:rsidR="00C77432" w:rsidRDefault="00C77432" w:rsidP="00EF6146">
                <w:pPr>
                  <w:jc w:val="right"/>
                </w:pPr>
              </w:p>
              <w:p w:rsidR="00C77432" w:rsidRDefault="00C77432" w:rsidP="00EF6146">
                <w:pPr>
                  <w:jc w:val="right"/>
                </w:pPr>
              </w:p>
              <w:p w:rsidR="00AB5C0E" w:rsidRPr="000575E4" w:rsidRDefault="00AB5C0E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AB5C0E" w:rsidRPr="000575E4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B5C0E" w:rsidRPr="000575E4" w:rsidRDefault="0057767C">
                      <w:pPr>
                        <w:rPr>
                          <w:rFonts w:cs="Arial"/>
                          <w:color w:val="939598"/>
                          <w:szCs w:val="14"/>
                        </w:rPr>
                      </w:pPr>
                      <w:r>
                        <w:rPr>
                          <w:rFonts w:cs="Arial"/>
                          <w:noProof/>
                          <w:lang w:eastAsia="en-ZA"/>
                        </w:rPr>
                        <w:drawing>
                          <wp:inline distT="0" distB="0" distL="0" distR="0">
                            <wp:extent cx="152400" cy="149352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77432" w:rsidRPr="00866D23" w:rsidRDefault="00C77432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C0E" w:rsidRPr="000575E4" w:rsidRDefault="00AB5C0E" w:rsidP="00AB5C0E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AB5C0E" w:rsidRPr="000575E4">
      <w:trPr>
        <w:trHeight w:hRule="exact" w:val="2342"/>
        <w:jc w:val="right"/>
      </w:trPr>
      <w:tc>
        <w:tcPr>
          <w:tcW w:w="9752" w:type="dxa"/>
        </w:tcPr>
        <w:p w:rsidR="00AB5C0E" w:rsidRPr="000575E4" w:rsidRDefault="0057767C" w:rsidP="00AB5C0E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  <w:lang w:eastAsia="en-ZA"/>
            </w:rPr>
            <w:drawing>
              <wp:inline distT="0" distB="0" distL="0" distR="0">
                <wp:extent cx="152400" cy="149352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7432" w:rsidRPr="00866D23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Pr="00EF6146" w:rsidRDefault="00C77432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2" w:rsidRDefault="006970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C77432" w:rsidRDefault="00C77432" w:rsidP="00BD2E91">
                <w:pPr>
                  <w:jc w:val="right"/>
                </w:pPr>
              </w:p>
              <w:p w:rsidR="00C77432" w:rsidRDefault="00C77432" w:rsidP="00BD2E91">
                <w:pPr>
                  <w:jc w:val="right"/>
                </w:pPr>
              </w:p>
              <w:p w:rsidR="00C77432" w:rsidRDefault="00C77432" w:rsidP="00BD2E91">
                <w:pPr>
                  <w:jc w:val="right"/>
                </w:pPr>
              </w:p>
              <w:p w:rsidR="00C77432" w:rsidRDefault="00C77432" w:rsidP="00BD2E91">
                <w:pPr>
                  <w:jc w:val="right"/>
                </w:pPr>
              </w:p>
              <w:p w:rsidR="00C77432" w:rsidRDefault="00C77432" w:rsidP="00BD2E91">
                <w:pPr>
                  <w:jc w:val="right"/>
                </w:pPr>
              </w:p>
              <w:p w:rsidR="00C77432" w:rsidRDefault="00C77432" w:rsidP="00BD2E91">
                <w:pPr>
                  <w:jc w:val="right"/>
                </w:pPr>
              </w:p>
              <w:p w:rsidR="00AB5C0E" w:rsidRPr="000575E4" w:rsidRDefault="00AB5C0E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AB5C0E" w:rsidRPr="000575E4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B5C0E" w:rsidRPr="000575E4" w:rsidRDefault="0057767C">
                      <w:pPr>
                        <w:rPr>
                          <w:rFonts w:cs="Arial"/>
                          <w:color w:val="939598"/>
                          <w:szCs w:val="14"/>
                        </w:rPr>
                      </w:pPr>
                      <w:r>
                        <w:rPr>
                          <w:rFonts w:cs="Arial"/>
                          <w:noProof/>
                          <w:lang w:eastAsia="en-ZA"/>
                        </w:rPr>
                        <w:drawing>
                          <wp:inline distT="0" distB="0" distL="0" distR="0">
                            <wp:extent cx="152400" cy="149352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77432" w:rsidRPr="00866D23" w:rsidRDefault="00C77432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B5C0E" w:rsidRPr="000575E4" w:rsidRDefault="00AB5C0E" w:rsidP="00AB5C0E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  <w:bookmarkStart w:id="5" w:name="LHS_JSE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AB5C0E" w:rsidRPr="000575E4">
      <w:trPr>
        <w:trHeight w:hRule="exact" w:val="2342"/>
        <w:jc w:val="right"/>
      </w:trPr>
      <w:tc>
        <w:tcPr>
          <w:tcW w:w="9752" w:type="dxa"/>
        </w:tcPr>
        <w:p w:rsidR="00AB5C0E" w:rsidRPr="000575E4" w:rsidRDefault="0057767C" w:rsidP="00AB5C0E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  <w:lang w:eastAsia="en-ZA"/>
            </w:rPr>
            <w:drawing>
              <wp:inline distT="0" distB="0" distL="0" distR="0">
                <wp:extent cx="152400" cy="1493520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C77432" w:rsidRPr="00866D23" w:rsidRDefault="00C77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77432" w:rsidRDefault="0057767C">
    <w:bookmarkStart w:id="6" w:name="LHS_YieldX_Header"/>
    <w:bookmarkStart w:id="7" w:name="LHS_JSE_Header"/>
    <w:r>
      <w:rPr>
        <w:noProof/>
        <w:lang w:eastAsia="en-ZA"/>
      </w:rPr>
      <w:drawing>
        <wp:inline distT="0" distB="0" distL="0" distR="0">
          <wp:extent cx="7574280" cy="96012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6"/>
    <w:bookmarkEnd w:id="7"/>
  </w:p>
  <w:p w:rsidR="00C77432" w:rsidRDefault="00C77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9B1"/>
    <w:multiLevelType w:val="hybridMultilevel"/>
    <w:tmpl w:val="25B4BF48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1DB72F99"/>
    <w:multiLevelType w:val="hybridMultilevel"/>
    <w:tmpl w:val="7720A32E"/>
    <w:lvl w:ilvl="0" w:tplc="7660DDD8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6556112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202272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4B382D1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B9ED54E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C0F86E4A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6B1A23A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36221F38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1DD0391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50AD34FF"/>
    <w:multiLevelType w:val="hybridMultilevel"/>
    <w:tmpl w:val="B7D888AA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117215"/>
    <w:multiLevelType w:val="hybridMultilevel"/>
    <w:tmpl w:val="1CF68642"/>
    <w:lvl w:ilvl="0" w:tplc="9D600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F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4A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69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F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AA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02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C8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AA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C822B5"/>
    <w:multiLevelType w:val="hybridMultilevel"/>
    <w:tmpl w:val="44F26DAC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A55ED5"/>
    <w:multiLevelType w:val="hybridMultilevel"/>
    <w:tmpl w:val="B1C21398"/>
    <w:lvl w:ilvl="0" w:tplc="EA324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88D16">
      <w:start w:val="1"/>
      <w:numFmt w:val="decimal"/>
      <w:lvlText w:val="%3."/>
      <w:lvlJc w:val="left"/>
      <w:pPr>
        <w:ind w:left="2160" w:hanging="360"/>
      </w:pPr>
      <w:rPr>
        <w:rFonts w:ascii="Arial" w:eastAsia="Times" w:hAnsi="Arial" w:cs="Arial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8327C7"/>
    <w:rsid w:val="00005ABD"/>
    <w:rsid w:val="00005E65"/>
    <w:rsid w:val="00010D3E"/>
    <w:rsid w:val="00013B1F"/>
    <w:rsid w:val="00022F45"/>
    <w:rsid w:val="0002546C"/>
    <w:rsid w:val="00045384"/>
    <w:rsid w:val="000555D7"/>
    <w:rsid w:val="00055D9B"/>
    <w:rsid w:val="00056347"/>
    <w:rsid w:val="000712A0"/>
    <w:rsid w:val="00072A74"/>
    <w:rsid w:val="00080E87"/>
    <w:rsid w:val="000903E9"/>
    <w:rsid w:val="000A16A0"/>
    <w:rsid w:val="000A4D69"/>
    <w:rsid w:val="000B20DB"/>
    <w:rsid w:val="000B2286"/>
    <w:rsid w:val="000B4AD4"/>
    <w:rsid w:val="000B4D13"/>
    <w:rsid w:val="000D2943"/>
    <w:rsid w:val="000D4CC3"/>
    <w:rsid w:val="000E132F"/>
    <w:rsid w:val="000E753B"/>
    <w:rsid w:val="00107C63"/>
    <w:rsid w:val="0011333F"/>
    <w:rsid w:val="00124F12"/>
    <w:rsid w:val="00131969"/>
    <w:rsid w:val="001328BB"/>
    <w:rsid w:val="00136480"/>
    <w:rsid w:val="00144640"/>
    <w:rsid w:val="0015338D"/>
    <w:rsid w:val="001615D5"/>
    <w:rsid w:val="001669F8"/>
    <w:rsid w:val="00166E91"/>
    <w:rsid w:val="00171CD0"/>
    <w:rsid w:val="00172C46"/>
    <w:rsid w:val="0017440B"/>
    <w:rsid w:val="00181BD8"/>
    <w:rsid w:val="00190583"/>
    <w:rsid w:val="0019748E"/>
    <w:rsid w:val="001C54A8"/>
    <w:rsid w:val="001D31E0"/>
    <w:rsid w:val="001E64EB"/>
    <w:rsid w:val="001F4BBE"/>
    <w:rsid w:val="00204A2E"/>
    <w:rsid w:val="00204CFF"/>
    <w:rsid w:val="002110B0"/>
    <w:rsid w:val="00212C55"/>
    <w:rsid w:val="002164CA"/>
    <w:rsid w:val="00222736"/>
    <w:rsid w:val="00225C54"/>
    <w:rsid w:val="002310FB"/>
    <w:rsid w:val="00236213"/>
    <w:rsid w:val="002402A6"/>
    <w:rsid w:val="00245C4C"/>
    <w:rsid w:val="00247736"/>
    <w:rsid w:val="002504BB"/>
    <w:rsid w:val="00260C55"/>
    <w:rsid w:val="0026353A"/>
    <w:rsid w:val="00267880"/>
    <w:rsid w:val="00272072"/>
    <w:rsid w:val="002740EF"/>
    <w:rsid w:val="002912EF"/>
    <w:rsid w:val="002933BA"/>
    <w:rsid w:val="00293825"/>
    <w:rsid w:val="002A515A"/>
    <w:rsid w:val="002B6D7D"/>
    <w:rsid w:val="002C62CE"/>
    <w:rsid w:val="002E70B9"/>
    <w:rsid w:val="002F227C"/>
    <w:rsid w:val="003023E7"/>
    <w:rsid w:val="00302CC5"/>
    <w:rsid w:val="00317A16"/>
    <w:rsid w:val="00324BB6"/>
    <w:rsid w:val="00325F46"/>
    <w:rsid w:val="00337D65"/>
    <w:rsid w:val="00346A50"/>
    <w:rsid w:val="00347132"/>
    <w:rsid w:val="00347A89"/>
    <w:rsid w:val="00350F9A"/>
    <w:rsid w:val="00355FE4"/>
    <w:rsid w:val="00361B8D"/>
    <w:rsid w:val="00361F71"/>
    <w:rsid w:val="003651BA"/>
    <w:rsid w:val="00374FE5"/>
    <w:rsid w:val="00376DFC"/>
    <w:rsid w:val="00382C9A"/>
    <w:rsid w:val="0038500A"/>
    <w:rsid w:val="0039074D"/>
    <w:rsid w:val="00392528"/>
    <w:rsid w:val="00393A29"/>
    <w:rsid w:val="00393DA9"/>
    <w:rsid w:val="003A10AF"/>
    <w:rsid w:val="003A1F47"/>
    <w:rsid w:val="003A7178"/>
    <w:rsid w:val="003A79F1"/>
    <w:rsid w:val="003B1235"/>
    <w:rsid w:val="003B5942"/>
    <w:rsid w:val="003D7ED3"/>
    <w:rsid w:val="003F0A7C"/>
    <w:rsid w:val="003F6483"/>
    <w:rsid w:val="003F6B9F"/>
    <w:rsid w:val="004014E1"/>
    <w:rsid w:val="00406587"/>
    <w:rsid w:val="00411902"/>
    <w:rsid w:val="00412ADE"/>
    <w:rsid w:val="00416A9B"/>
    <w:rsid w:val="00422ED5"/>
    <w:rsid w:val="00426114"/>
    <w:rsid w:val="00431A28"/>
    <w:rsid w:val="00433733"/>
    <w:rsid w:val="00442867"/>
    <w:rsid w:val="00444500"/>
    <w:rsid w:val="00444557"/>
    <w:rsid w:val="004458D1"/>
    <w:rsid w:val="00457625"/>
    <w:rsid w:val="00461550"/>
    <w:rsid w:val="00463643"/>
    <w:rsid w:val="004712F6"/>
    <w:rsid w:val="00471430"/>
    <w:rsid w:val="004715A1"/>
    <w:rsid w:val="00472A0C"/>
    <w:rsid w:val="004803F9"/>
    <w:rsid w:val="00485C82"/>
    <w:rsid w:val="004861BE"/>
    <w:rsid w:val="004879F0"/>
    <w:rsid w:val="00494F15"/>
    <w:rsid w:val="0049658B"/>
    <w:rsid w:val="004970C1"/>
    <w:rsid w:val="004A5288"/>
    <w:rsid w:val="004B1B95"/>
    <w:rsid w:val="004B261A"/>
    <w:rsid w:val="004B2746"/>
    <w:rsid w:val="004B7D15"/>
    <w:rsid w:val="004C0CBC"/>
    <w:rsid w:val="004D14AD"/>
    <w:rsid w:val="004D1542"/>
    <w:rsid w:val="004E2246"/>
    <w:rsid w:val="004E300A"/>
    <w:rsid w:val="00501D91"/>
    <w:rsid w:val="0050330C"/>
    <w:rsid w:val="00507CA9"/>
    <w:rsid w:val="005121B1"/>
    <w:rsid w:val="00515E9B"/>
    <w:rsid w:val="00516791"/>
    <w:rsid w:val="00521D70"/>
    <w:rsid w:val="00522C54"/>
    <w:rsid w:val="00523145"/>
    <w:rsid w:val="00533FB1"/>
    <w:rsid w:val="005374C3"/>
    <w:rsid w:val="005419B7"/>
    <w:rsid w:val="00544ADF"/>
    <w:rsid w:val="00546807"/>
    <w:rsid w:val="00562FBB"/>
    <w:rsid w:val="00563958"/>
    <w:rsid w:val="00564250"/>
    <w:rsid w:val="005646B6"/>
    <w:rsid w:val="00565CFD"/>
    <w:rsid w:val="00570F91"/>
    <w:rsid w:val="005716BB"/>
    <w:rsid w:val="0057767C"/>
    <w:rsid w:val="00580656"/>
    <w:rsid w:val="005A28EB"/>
    <w:rsid w:val="005A2F49"/>
    <w:rsid w:val="005A78B3"/>
    <w:rsid w:val="005B2C23"/>
    <w:rsid w:val="005C0830"/>
    <w:rsid w:val="005C1BAC"/>
    <w:rsid w:val="005D0799"/>
    <w:rsid w:val="005D2AAA"/>
    <w:rsid w:val="005F643C"/>
    <w:rsid w:val="005F792E"/>
    <w:rsid w:val="005F7B02"/>
    <w:rsid w:val="005F7B4A"/>
    <w:rsid w:val="00600748"/>
    <w:rsid w:val="00603DEC"/>
    <w:rsid w:val="00611A25"/>
    <w:rsid w:val="006141D1"/>
    <w:rsid w:val="0062321A"/>
    <w:rsid w:val="00641A4F"/>
    <w:rsid w:val="00642100"/>
    <w:rsid w:val="00644277"/>
    <w:rsid w:val="006449F0"/>
    <w:rsid w:val="00646E1D"/>
    <w:rsid w:val="00650E7A"/>
    <w:rsid w:val="0065340D"/>
    <w:rsid w:val="006558A8"/>
    <w:rsid w:val="0065651E"/>
    <w:rsid w:val="00657397"/>
    <w:rsid w:val="0066065F"/>
    <w:rsid w:val="00662345"/>
    <w:rsid w:val="006639AB"/>
    <w:rsid w:val="006659DC"/>
    <w:rsid w:val="00665E94"/>
    <w:rsid w:val="00667EB1"/>
    <w:rsid w:val="00672215"/>
    <w:rsid w:val="006729B9"/>
    <w:rsid w:val="0067642B"/>
    <w:rsid w:val="00677EF2"/>
    <w:rsid w:val="00682A02"/>
    <w:rsid w:val="006835AC"/>
    <w:rsid w:val="0068753C"/>
    <w:rsid w:val="00690242"/>
    <w:rsid w:val="00690ACA"/>
    <w:rsid w:val="0069595D"/>
    <w:rsid w:val="006970B3"/>
    <w:rsid w:val="0069722F"/>
    <w:rsid w:val="006A675C"/>
    <w:rsid w:val="006B0389"/>
    <w:rsid w:val="006B581D"/>
    <w:rsid w:val="006B6F82"/>
    <w:rsid w:val="006B7A06"/>
    <w:rsid w:val="006B7C7A"/>
    <w:rsid w:val="006C4696"/>
    <w:rsid w:val="006C5603"/>
    <w:rsid w:val="006C60CE"/>
    <w:rsid w:val="006E0A4A"/>
    <w:rsid w:val="006E38E5"/>
    <w:rsid w:val="006F7597"/>
    <w:rsid w:val="0070241A"/>
    <w:rsid w:val="00707A7B"/>
    <w:rsid w:val="007123C9"/>
    <w:rsid w:val="007350C5"/>
    <w:rsid w:val="00744FE3"/>
    <w:rsid w:val="00752B56"/>
    <w:rsid w:val="007644F2"/>
    <w:rsid w:val="00777E52"/>
    <w:rsid w:val="00784942"/>
    <w:rsid w:val="00790BAF"/>
    <w:rsid w:val="00793466"/>
    <w:rsid w:val="007A20A2"/>
    <w:rsid w:val="007A457F"/>
    <w:rsid w:val="007A581D"/>
    <w:rsid w:val="007A6686"/>
    <w:rsid w:val="007A76EF"/>
    <w:rsid w:val="007C1836"/>
    <w:rsid w:val="007C344E"/>
    <w:rsid w:val="007C5C1D"/>
    <w:rsid w:val="007C662E"/>
    <w:rsid w:val="007C6C12"/>
    <w:rsid w:val="007C7AF6"/>
    <w:rsid w:val="007D09BA"/>
    <w:rsid w:val="007D21B1"/>
    <w:rsid w:val="007D60F9"/>
    <w:rsid w:val="007D62C4"/>
    <w:rsid w:val="007D6CD5"/>
    <w:rsid w:val="007E1EA4"/>
    <w:rsid w:val="007F3B26"/>
    <w:rsid w:val="007F3B30"/>
    <w:rsid w:val="00802614"/>
    <w:rsid w:val="00805618"/>
    <w:rsid w:val="0080571A"/>
    <w:rsid w:val="00806B5B"/>
    <w:rsid w:val="00811789"/>
    <w:rsid w:val="0081661F"/>
    <w:rsid w:val="00825060"/>
    <w:rsid w:val="008327C7"/>
    <w:rsid w:val="008341A3"/>
    <w:rsid w:val="008402B0"/>
    <w:rsid w:val="00841519"/>
    <w:rsid w:val="00866D23"/>
    <w:rsid w:val="00872944"/>
    <w:rsid w:val="00872C0B"/>
    <w:rsid w:val="00880DAE"/>
    <w:rsid w:val="00893403"/>
    <w:rsid w:val="00895EF6"/>
    <w:rsid w:val="008A12A7"/>
    <w:rsid w:val="008A605E"/>
    <w:rsid w:val="008C4F3F"/>
    <w:rsid w:val="008C7F5C"/>
    <w:rsid w:val="008D1F74"/>
    <w:rsid w:val="008D4235"/>
    <w:rsid w:val="008E2D1E"/>
    <w:rsid w:val="008E33C1"/>
    <w:rsid w:val="008F39F6"/>
    <w:rsid w:val="0090141A"/>
    <w:rsid w:val="00903408"/>
    <w:rsid w:val="009122B4"/>
    <w:rsid w:val="0091320A"/>
    <w:rsid w:val="00915FA7"/>
    <w:rsid w:val="0091602F"/>
    <w:rsid w:val="00923804"/>
    <w:rsid w:val="0092586E"/>
    <w:rsid w:val="009327B7"/>
    <w:rsid w:val="00933691"/>
    <w:rsid w:val="00936582"/>
    <w:rsid w:val="00937896"/>
    <w:rsid w:val="00942462"/>
    <w:rsid w:val="00945331"/>
    <w:rsid w:val="00953712"/>
    <w:rsid w:val="00953867"/>
    <w:rsid w:val="00961C6B"/>
    <w:rsid w:val="009825F6"/>
    <w:rsid w:val="00984BB8"/>
    <w:rsid w:val="009902D5"/>
    <w:rsid w:val="009904FF"/>
    <w:rsid w:val="00990DF5"/>
    <w:rsid w:val="00992CCA"/>
    <w:rsid w:val="009958AB"/>
    <w:rsid w:val="009A0F59"/>
    <w:rsid w:val="009A1F89"/>
    <w:rsid w:val="009A5902"/>
    <w:rsid w:val="009B0860"/>
    <w:rsid w:val="009B427C"/>
    <w:rsid w:val="009B4E99"/>
    <w:rsid w:val="009B5F4E"/>
    <w:rsid w:val="009B6051"/>
    <w:rsid w:val="009C1165"/>
    <w:rsid w:val="009C604E"/>
    <w:rsid w:val="009D596E"/>
    <w:rsid w:val="009D6117"/>
    <w:rsid w:val="009E36B0"/>
    <w:rsid w:val="009F175C"/>
    <w:rsid w:val="009F5D5C"/>
    <w:rsid w:val="009F66C4"/>
    <w:rsid w:val="009F7B19"/>
    <w:rsid w:val="00A012C0"/>
    <w:rsid w:val="00A04AB9"/>
    <w:rsid w:val="00A04ECC"/>
    <w:rsid w:val="00A05078"/>
    <w:rsid w:val="00A1340B"/>
    <w:rsid w:val="00A15664"/>
    <w:rsid w:val="00A241AB"/>
    <w:rsid w:val="00A2649B"/>
    <w:rsid w:val="00A26FF8"/>
    <w:rsid w:val="00A307C0"/>
    <w:rsid w:val="00A43C1A"/>
    <w:rsid w:val="00A54EB6"/>
    <w:rsid w:val="00A5503F"/>
    <w:rsid w:val="00A6141F"/>
    <w:rsid w:val="00A63618"/>
    <w:rsid w:val="00A67052"/>
    <w:rsid w:val="00A67549"/>
    <w:rsid w:val="00A70670"/>
    <w:rsid w:val="00A70821"/>
    <w:rsid w:val="00A73F87"/>
    <w:rsid w:val="00A83F3D"/>
    <w:rsid w:val="00A853F8"/>
    <w:rsid w:val="00A86694"/>
    <w:rsid w:val="00A920E2"/>
    <w:rsid w:val="00A967E4"/>
    <w:rsid w:val="00AA4958"/>
    <w:rsid w:val="00AB0497"/>
    <w:rsid w:val="00AB24F2"/>
    <w:rsid w:val="00AB5C0E"/>
    <w:rsid w:val="00AB6FF8"/>
    <w:rsid w:val="00AC0C31"/>
    <w:rsid w:val="00AC3ACB"/>
    <w:rsid w:val="00AC3E4B"/>
    <w:rsid w:val="00AD5E62"/>
    <w:rsid w:val="00AD7F7A"/>
    <w:rsid w:val="00AD7FC5"/>
    <w:rsid w:val="00AF0E74"/>
    <w:rsid w:val="00AF44B7"/>
    <w:rsid w:val="00B01BB9"/>
    <w:rsid w:val="00B020B7"/>
    <w:rsid w:val="00B10799"/>
    <w:rsid w:val="00B209AA"/>
    <w:rsid w:val="00B270F7"/>
    <w:rsid w:val="00B3523F"/>
    <w:rsid w:val="00B36EB4"/>
    <w:rsid w:val="00B41E9C"/>
    <w:rsid w:val="00B425FE"/>
    <w:rsid w:val="00B43077"/>
    <w:rsid w:val="00B44AAF"/>
    <w:rsid w:val="00B452E8"/>
    <w:rsid w:val="00B45CCF"/>
    <w:rsid w:val="00B52764"/>
    <w:rsid w:val="00B53AEC"/>
    <w:rsid w:val="00B61EDF"/>
    <w:rsid w:val="00B703DC"/>
    <w:rsid w:val="00B7215D"/>
    <w:rsid w:val="00B74F49"/>
    <w:rsid w:val="00B7627A"/>
    <w:rsid w:val="00B858AB"/>
    <w:rsid w:val="00B9022B"/>
    <w:rsid w:val="00B90BC3"/>
    <w:rsid w:val="00B93827"/>
    <w:rsid w:val="00BA71CE"/>
    <w:rsid w:val="00BB2B88"/>
    <w:rsid w:val="00BB3934"/>
    <w:rsid w:val="00BB484F"/>
    <w:rsid w:val="00BB79AF"/>
    <w:rsid w:val="00BD2E91"/>
    <w:rsid w:val="00BD5EA2"/>
    <w:rsid w:val="00BE31BA"/>
    <w:rsid w:val="00BE4B0D"/>
    <w:rsid w:val="00BE50BE"/>
    <w:rsid w:val="00BE6382"/>
    <w:rsid w:val="00BF0528"/>
    <w:rsid w:val="00C06D31"/>
    <w:rsid w:val="00C243D3"/>
    <w:rsid w:val="00C2494F"/>
    <w:rsid w:val="00C42DC8"/>
    <w:rsid w:val="00C45804"/>
    <w:rsid w:val="00C51394"/>
    <w:rsid w:val="00C53598"/>
    <w:rsid w:val="00C57BAC"/>
    <w:rsid w:val="00C62BF1"/>
    <w:rsid w:val="00C65F18"/>
    <w:rsid w:val="00C702C3"/>
    <w:rsid w:val="00C723BE"/>
    <w:rsid w:val="00C72592"/>
    <w:rsid w:val="00C737D8"/>
    <w:rsid w:val="00C7472E"/>
    <w:rsid w:val="00C77432"/>
    <w:rsid w:val="00C816A0"/>
    <w:rsid w:val="00C868CF"/>
    <w:rsid w:val="00C9245D"/>
    <w:rsid w:val="00C94EA6"/>
    <w:rsid w:val="00CA1112"/>
    <w:rsid w:val="00CA1C67"/>
    <w:rsid w:val="00CA3F48"/>
    <w:rsid w:val="00CA3F5F"/>
    <w:rsid w:val="00CA664F"/>
    <w:rsid w:val="00CB1128"/>
    <w:rsid w:val="00CB3D47"/>
    <w:rsid w:val="00CC02AA"/>
    <w:rsid w:val="00CC7197"/>
    <w:rsid w:val="00CC7D05"/>
    <w:rsid w:val="00CD5851"/>
    <w:rsid w:val="00CE5F0C"/>
    <w:rsid w:val="00CF17A6"/>
    <w:rsid w:val="00CF1B75"/>
    <w:rsid w:val="00D049D3"/>
    <w:rsid w:val="00D1019A"/>
    <w:rsid w:val="00D114D0"/>
    <w:rsid w:val="00D246AF"/>
    <w:rsid w:val="00D31C03"/>
    <w:rsid w:val="00D33DAE"/>
    <w:rsid w:val="00D33FC1"/>
    <w:rsid w:val="00D43DD6"/>
    <w:rsid w:val="00D46F4A"/>
    <w:rsid w:val="00D60F1E"/>
    <w:rsid w:val="00D61F92"/>
    <w:rsid w:val="00D84377"/>
    <w:rsid w:val="00D8690A"/>
    <w:rsid w:val="00D90894"/>
    <w:rsid w:val="00D94306"/>
    <w:rsid w:val="00D946DB"/>
    <w:rsid w:val="00D95D34"/>
    <w:rsid w:val="00DA4037"/>
    <w:rsid w:val="00DB03B7"/>
    <w:rsid w:val="00DB0E6F"/>
    <w:rsid w:val="00DB5E81"/>
    <w:rsid w:val="00DC344E"/>
    <w:rsid w:val="00DC47DF"/>
    <w:rsid w:val="00DC6D4A"/>
    <w:rsid w:val="00DD79B1"/>
    <w:rsid w:val="00DE1381"/>
    <w:rsid w:val="00DE6CDB"/>
    <w:rsid w:val="00DF08B5"/>
    <w:rsid w:val="00E00A8C"/>
    <w:rsid w:val="00E15DAE"/>
    <w:rsid w:val="00E23FBD"/>
    <w:rsid w:val="00E2620D"/>
    <w:rsid w:val="00E2638A"/>
    <w:rsid w:val="00E35CD6"/>
    <w:rsid w:val="00E442E8"/>
    <w:rsid w:val="00E477DB"/>
    <w:rsid w:val="00E50C0D"/>
    <w:rsid w:val="00E53219"/>
    <w:rsid w:val="00E545A4"/>
    <w:rsid w:val="00E6127E"/>
    <w:rsid w:val="00E663F2"/>
    <w:rsid w:val="00E66A8F"/>
    <w:rsid w:val="00E67D1E"/>
    <w:rsid w:val="00E67E3E"/>
    <w:rsid w:val="00E709EB"/>
    <w:rsid w:val="00E73603"/>
    <w:rsid w:val="00E75785"/>
    <w:rsid w:val="00E7639F"/>
    <w:rsid w:val="00E901E5"/>
    <w:rsid w:val="00E902CA"/>
    <w:rsid w:val="00E93A07"/>
    <w:rsid w:val="00E96BC0"/>
    <w:rsid w:val="00E976D2"/>
    <w:rsid w:val="00E97BC7"/>
    <w:rsid w:val="00EA287F"/>
    <w:rsid w:val="00EB0ECE"/>
    <w:rsid w:val="00EB1594"/>
    <w:rsid w:val="00EB68BC"/>
    <w:rsid w:val="00EC46FB"/>
    <w:rsid w:val="00EC65FF"/>
    <w:rsid w:val="00ED0ACC"/>
    <w:rsid w:val="00ED3875"/>
    <w:rsid w:val="00ED7F68"/>
    <w:rsid w:val="00EE02DE"/>
    <w:rsid w:val="00EF0387"/>
    <w:rsid w:val="00EF6146"/>
    <w:rsid w:val="00EF76CF"/>
    <w:rsid w:val="00F22775"/>
    <w:rsid w:val="00F25883"/>
    <w:rsid w:val="00F27221"/>
    <w:rsid w:val="00F32B8A"/>
    <w:rsid w:val="00F40425"/>
    <w:rsid w:val="00F4362E"/>
    <w:rsid w:val="00F45B8F"/>
    <w:rsid w:val="00F47E51"/>
    <w:rsid w:val="00F52D6D"/>
    <w:rsid w:val="00F5402F"/>
    <w:rsid w:val="00F545A9"/>
    <w:rsid w:val="00F54F6D"/>
    <w:rsid w:val="00F57AE6"/>
    <w:rsid w:val="00F600EF"/>
    <w:rsid w:val="00F607E2"/>
    <w:rsid w:val="00F60E1E"/>
    <w:rsid w:val="00F62AE5"/>
    <w:rsid w:val="00F65191"/>
    <w:rsid w:val="00F70FF0"/>
    <w:rsid w:val="00F737FE"/>
    <w:rsid w:val="00F823C6"/>
    <w:rsid w:val="00F84B90"/>
    <w:rsid w:val="00F85FEC"/>
    <w:rsid w:val="00F9742D"/>
    <w:rsid w:val="00FA48C1"/>
    <w:rsid w:val="00FA6950"/>
    <w:rsid w:val="00FB1D44"/>
    <w:rsid w:val="00FB2F7A"/>
    <w:rsid w:val="00FB453D"/>
    <w:rsid w:val="00FB4FE3"/>
    <w:rsid w:val="00FC31B9"/>
    <w:rsid w:val="00FC64F9"/>
    <w:rsid w:val="00FD3D38"/>
    <w:rsid w:val="00FD4263"/>
    <w:rsid w:val="00FD5F66"/>
    <w:rsid w:val="00FE694D"/>
    <w:rsid w:val="00FF3BDF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4A8"/>
    <w:pPr>
      <w:spacing w:line="312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C54A8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1C54A8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1C54A8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1C54A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C54A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C54A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641A4F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641A4F"/>
  </w:style>
  <w:style w:type="paragraph" w:customStyle="1" w:styleId="JSESubjectLine10ptBoldLeft">
    <w:name w:val="JSE Subject Line 10pt Bold Left"/>
    <w:basedOn w:val="Heading6"/>
    <w:rsid w:val="00641A4F"/>
    <w:pPr>
      <w:jc w:val="both"/>
    </w:pPr>
  </w:style>
  <w:style w:type="paragraph" w:customStyle="1" w:styleId="JSEDocversion">
    <w:name w:val="JSE Doc version"/>
    <w:basedOn w:val="JSEBodyCopyArial10ptRoman"/>
    <w:rsid w:val="00641A4F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641A4F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641A4F"/>
    <w:pPr>
      <w:jc w:val="left"/>
    </w:pPr>
  </w:style>
  <w:style w:type="paragraph" w:styleId="Footer">
    <w:name w:val="footer"/>
    <w:basedOn w:val="Normal"/>
    <w:rsid w:val="00641A4F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41A4F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rsid w:val="00641A4F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641A4F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641A4F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641A4F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rsid w:val="0083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27C7"/>
  </w:style>
  <w:style w:type="character" w:customStyle="1" w:styleId="CommentTextChar">
    <w:name w:val="Comment Text Char"/>
    <w:basedOn w:val="DefaultParagraphFont"/>
    <w:link w:val="CommentText"/>
    <w:uiPriority w:val="99"/>
    <w:rsid w:val="008327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7C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327C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F47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3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nicolask\Application%20Data\Microsoft\Signatures\JSE_logo%20small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JSE\Stationery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Base/>
  <HLinks>
    <vt:vector size="6" baseType="variant">
      <vt:variant>
        <vt:i4>524312</vt:i4>
      </vt:variant>
      <vt:variant>
        <vt:i4>19</vt:i4>
      </vt:variant>
      <vt:variant>
        <vt:i4>0</vt:i4>
      </vt:variant>
      <vt:variant>
        <vt:i4>5</vt:i4>
      </vt:variant>
      <vt:variant>
        <vt:lpwstr>http://www.jse.co.za/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nicolask</dc:creator>
  <cp:lastModifiedBy>nicolask</cp:lastModifiedBy>
  <cp:revision>2</cp:revision>
  <cp:lastPrinted>2013-08-14T11:04:00Z</cp:lastPrinted>
  <dcterms:created xsi:type="dcterms:W3CDTF">2013-12-12T11:52:00Z</dcterms:created>
  <dcterms:modified xsi:type="dcterms:W3CDTF">2013-12-12T11:52:00Z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</Properties>
</file>